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header1.xml" ContentType="application/vnd.openxmlformats-officedocument.wordprocessingml.header+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spacing w:after="0"/>
      </w:pPr>
      <w:r>
        <w:rPr>
          <w:rFonts w:ascii="HY헤드라인M" w:eastAsia="HY헤드라인M" w:hint="eastAsia"/>
          <w:b/>
          <w:sz w:val="36"/>
          <w:szCs w:val="36"/>
        </w:rPr>
        <w:t>연구계획서(인체유래물용)</w:t>
      </w:r>
    </w:p>
    <w:p>
      <w:pPr>
        <w:jc w:val="right"/>
        <w:spacing w:after="0" w:line="240" w:lineRule="auto"/>
        <w:rPr>
          <w:color w:val="000000"/>
          <w:sz w:val="24"/>
        </w:rPr>
      </w:pPr>
      <w:r>
        <w:rPr>
          <w:color w:val="000000"/>
          <w:sz w:val="24"/>
        </w:rPr>
        <w:t>V</w:t>
      </w:r>
      <w:r>
        <w:rPr>
          <w:rFonts w:hint="eastAsia"/>
          <w:color w:val="000000"/>
          <w:sz w:val="24"/>
        </w:rPr>
        <w:t>ersion :</w:t>
      </w:r>
      <w:r>
        <w:rPr>
          <w:color w:val="000000"/>
          <w:sz w:val="24"/>
        </w:rPr>
        <w:t xml:space="preserve"> 1</w:t>
      </w:r>
    </w:p>
    <w:p>
      <w:pPr>
        <w:jc w:val="right"/>
        <w:spacing w:after="0" w:line="240" w:lineRule="auto"/>
        <w:rPr>
          <w:color w:val="0000FF"/>
          <w:sz w:val="16"/>
        </w:rPr>
      </w:pPr>
      <w:r>
        <w:rPr>
          <w:rFonts w:hint="eastAsia"/>
          <w:color w:val="0000FF"/>
          <w:sz w:val="16"/>
        </w:rPr>
        <w:t>*</w:t>
      </w:r>
      <w:r>
        <w:rPr>
          <w:rFonts w:hint="eastAsia"/>
          <w:color w:val="0000FF"/>
          <w:sz w:val="16"/>
        </w:rPr>
        <w:t>연구계획서 내용</w:t>
      </w:r>
      <w:r>
        <w:rPr>
          <w:rFonts w:hint="eastAsia"/>
          <w:color w:val="0000FF"/>
          <w:sz w:val="16"/>
        </w:rPr>
        <w:t xml:space="preserve"> 변경 시 반드시 버전을 업그레이드하여 표기하여야 함.    </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9230"/>
      </w:tblGrid>
      <w:tr>
        <w:trPr>
          <w:trHeight w:val="426" w:hRule="atLeast"/>
        </w:trPr>
        <w:tc>
          <w:tcPr>
            <w:tcW w:w="9230" w:type="dxa"/>
            <w:tcBorders>
              <w:top w:val="single" w:sz="12" w:space="0" w:color="939500"/>
              <w:left w:val="nil"/>
              <w:bottom w:val="nil"/>
              <w:right w:val="nil"/>
            </w:tcBorders>
            <w:shd w:val="clear" w:color="auto" w:fill="FAFABF"/>
            <w:tcMar>
              <w:top w:w="28" w:type="dxa"/>
              <w:left w:w="102" w:type="dxa"/>
              <w:bottom w:w="28" w:type="dxa"/>
              <w:right w:w="102" w:type="dxa"/>
            </w:tcMar>
            <w:vAlign w:val="center"/>
            <w:hideMark/>
          </w:tcPr>
          <w:p>
            <w:pPr>
              <w:autoSpaceDE/>
              <w:autoSpaceDN/>
              <w:widowControl/>
              <w:wordWrap/>
              <w:snapToGrid w:val="0"/>
              <w:spacing w:after="0" w:line="312" w:lineRule="auto"/>
              <w:rPr>
                <w:rFonts w:asciiTheme="minorEastAsia" w:hAnsiTheme="minorEastAsia" w:cs="굴림"/>
                <w:color w:val="000000"/>
                <w:szCs w:val="20"/>
                <w:kern w:val="0"/>
              </w:rPr>
            </w:pPr>
            <w:r>
              <w:rPr>
                <w:rFonts w:asciiTheme="minorEastAsia" w:hAnsiTheme="minorEastAsia" w:cs="굴림"/>
                <w:b/>
                <w:bCs/>
                <w:color w:val="000000"/>
                <w:sz w:val="22"/>
                <w:kern w:val="0"/>
              </w:rPr>
              <w:t xml:space="preserve">1. </w:t>
            </w:r>
            <w:r>
              <w:rPr>
                <w:rFonts w:asciiTheme="minorEastAsia" w:hAnsiTheme="minorEastAsia" w:cs="굴림"/>
                <w:b/>
                <w:bCs/>
                <w:color w:val="000000"/>
                <w:sz w:val="22"/>
                <w:kern w:val="0"/>
              </w:rPr>
              <w:t>연구과제명</w:t>
            </w:r>
          </w:p>
        </w:tc>
      </w:tr>
      <w:tr>
        <w:trPr>
          <w:trHeight w:val="593" w:hRule="atLeast"/>
        </w:trPr>
        <w:tc>
          <w:tcPr>
            <w:tcW w:w="9230" w:type="dxa"/>
            <w:tcBorders>
              <w:top w:val="nil"/>
              <w:left w:val="nil"/>
              <w:bottom w:val="single" w:sz="12" w:space="0" w:color="939500"/>
              <w:right w:val="nil"/>
            </w:tcBorders>
            <w:tcMar>
              <w:top w:w="28" w:type="dxa"/>
              <w:left w:w="102" w:type="dxa"/>
              <w:bottom w:w="28" w:type="dxa"/>
              <w:right w:w="102" w:type="dxa"/>
            </w:tcMar>
            <w:vAlign w:val="center"/>
            <w:hideMark/>
          </w:tcPr>
          <w:p>
            <w:pPr>
              <w:autoSpaceDE/>
              <w:autoSpaceDN/>
              <w:widowControl/>
              <w:wordWrap/>
              <w:snapToGrid w:val="0"/>
              <w:jc w:val="center"/>
              <w:spacing w:after="0" w:line="312" w:lineRule="auto"/>
              <w:rPr>
                <w:rFonts w:asciiTheme="minorEastAsia" w:hAnsiTheme="minorEastAsia" w:cs="굴림"/>
                <w:color w:val="000000"/>
                <w:szCs w:val="20"/>
                <w:kern w:val="0"/>
              </w:rPr>
            </w:pPr>
            <w:r>
              <w:rPr>
                <w:sz w:val="18"/>
              </w:rPr>
              <w:t>말초 혈액 단핵세포를 이용한 IgA 분비 페이에르판 모델 개발</w:t>
            </w:r>
          </w:p>
        </w:tc>
      </w:tr>
      <w:tr>
        <w:trPr>
          <w:trHeight w:val="276" w:hRule="atLeast"/>
        </w:trPr>
        <w:tc>
          <w:tcPr>
            <w:tcW w:w="9230" w:type="dxa"/>
            <w:tcBorders>
              <w:top w:val="single" w:sz="12" w:space="0" w:color="939500"/>
              <w:left w:val="nil"/>
              <w:bottom w:val="single" w:sz="12" w:space="0" w:color="939500"/>
              <w:right w:val="nil"/>
            </w:tcBorders>
            <w:shd w:val="clear" w:color="auto" w:fill="FFFFFF"/>
            <w:tcMar>
              <w:top w:w="28" w:type="dxa"/>
              <w:left w:w="102" w:type="dxa"/>
              <w:bottom w:w="28" w:type="dxa"/>
              <w:right w:w="102" w:type="dxa"/>
            </w:tcMar>
            <w:vAlign w:val="center"/>
            <w:hideMark/>
          </w:tcPr>
          <w:p>
            <w:pPr>
              <w:autoSpaceDE/>
              <w:autoSpaceDN/>
              <w:widowControl/>
              <w:wordWrap/>
              <w:snapToGrid w:val="0"/>
              <w:jc w:val="center"/>
              <w:spacing w:after="0" w:line="312" w:lineRule="auto"/>
              <w:rPr>
                <w:rFonts w:asciiTheme="minorEastAsia" w:hAnsiTheme="minorEastAsia" w:cs="굴림"/>
                <w:color w:val="000000"/>
                <w:szCs w:val="20"/>
                <w:kern w:val="0"/>
              </w:rPr>
            </w:pPr>
          </w:p>
        </w:tc>
      </w:tr>
      <w:tr>
        <w:trPr>
          <w:trHeight w:val="446" w:hRule="atLeast"/>
        </w:trPr>
        <w:tc>
          <w:tcPr>
            <w:tcW w:w="9230" w:type="dxa"/>
            <w:tcBorders>
              <w:top w:val="single" w:sz="12" w:space="0" w:color="939500"/>
              <w:left w:val="nil"/>
              <w:bottom w:val="nil"/>
              <w:right w:val="nil"/>
            </w:tcBorders>
            <w:shd w:val="clear" w:color="auto" w:fill="FAFABF"/>
            <w:tcMar>
              <w:top w:w="28" w:type="dxa"/>
              <w:left w:w="28" w:type="dxa"/>
              <w:bottom w:w="28" w:type="dxa"/>
              <w:right w:w="28" w:type="dxa"/>
            </w:tcMar>
            <w:vAlign w:val="center"/>
            <w:hideMark/>
          </w:tcPr>
          <w:p>
            <w:pPr>
              <w:ind w:left="40" w:right="40"/>
              <w:autoSpaceDE/>
              <w:autoSpaceDN/>
              <w:widowControl/>
              <w:wordWrap/>
              <w:snapToGrid w:val="0"/>
              <w:spacing w:after="80" w:line="240" w:lineRule="auto"/>
              <w:rPr>
                <w:rFonts w:asciiTheme="minorEastAsia" w:hAnsiTheme="minorEastAsia" w:cs="굴림"/>
                <w:color w:val="000000"/>
                <w:szCs w:val="20"/>
                <w:kern w:val="0"/>
              </w:rPr>
            </w:pPr>
            <w:r>
              <w:rPr>
                <w:rFonts w:asciiTheme="minorEastAsia" w:hAnsiTheme="minorEastAsia" w:cs="굴림"/>
                <w:b/>
                <w:bCs/>
                <w:color w:val="000000"/>
                <w:sz w:val="22"/>
                <w:kern w:val="0"/>
              </w:rPr>
              <w:t xml:space="preserve">2. </w:t>
            </w:r>
            <w:r>
              <w:rPr>
                <w:rFonts w:asciiTheme="minorEastAsia" w:hAnsiTheme="minorEastAsia" w:cs="굴림"/>
                <w:b/>
                <w:bCs/>
                <w:color w:val="000000"/>
                <w:sz w:val="22"/>
                <w:kern w:val="0"/>
              </w:rPr>
              <w:t>연구배경</w:t>
            </w:r>
          </w:p>
        </w:tc>
      </w:tr>
      <w:tr>
        <w:trPr>
          <w:trHeight w:val="9795" w:hRule="exact"/>
        </w:trPr>
        <w:tc>
          <w:tcPr>
            <w:tcW w:w="9230" w:type="dxa"/>
            <w:tcBorders>
              <w:top w:val="nil"/>
              <w:left w:val="nil"/>
              <w:bottom w:val="single" w:sz="12" w:space="0" w:color="939500"/>
              <w:right w:val="nil"/>
            </w:tcBorders>
            <w:shd w:val="clear" w:color="auto" w:fill="FFFFFF"/>
            <w:tcMar>
              <w:top w:w="28" w:type="dxa"/>
              <w:left w:w="28" w:type="dxa"/>
              <w:bottom w:w="28" w:type="dxa"/>
              <w:right w:w="28" w:type="dxa"/>
            </w:tcMar>
            <w:vAlign w:val="center"/>
            <w:hideMark/>
          </w:tcPr>
          <w:p>
            <w:pPr>
              <w:ind w:right="40"/>
              <w:autoSpaceDE/>
              <w:autoSpaceDN/>
              <w:widowControl/>
              <w:wordWrap/>
              <w:snapToGrid w:val="0"/>
              <w:spacing w:after="80" w:line="240" w:lineRule="auto"/>
              <w:rPr>
                <w:lang w:eastAsia="ko-KR"/>
                <w:rFonts w:asciiTheme="minorEastAsia" w:hAnsiTheme="minorEastAsia" w:cs="굴림"/>
                <w:color w:val="000000"/>
                <w:sz w:val="18"/>
                <w:szCs w:val="20"/>
                <w:kern w:val="0"/>
                <w:rtl w:val="off"/>
              </w:rPr>
            </w:pPr>
            <w:r>
              <w:rPr>
                <w:rFonts w:asciiTheme="minorEastAsia" w:hAnsiTheme="minorEastAsia" w:cs="굴림"/>
                <w:color w:val="000000"/>
                <w:sz w:val="18"/>
                <w:szCs w:val="20"/>
                <w:kern w:val="0"/>
              </w:rPr>
              <w:t>- 페이에르판(Peyer’s patch)은 소장에 위치한 림프조직으로 음식, 약물, 세균이나 바이러스 등에서 유래된 항원에 지속적으로 노출됨. 페이에르판은 혈액을 통해 페이에르판으로 이동한 면역세포와 항원의 상호작용을 통해 IgA 항체를 생성하고 분비하는 등 장관 면역에 주요한 역할을 함. 분비된 IgA는 항원의 무효화 및 제거, 병원균의 점막면 침입 방지 등 점막면에서 방어기능을 발휘함.</w:t>
            </w:r>
          </w:p>
          <w:p>
            <w:pPr>
              <w:ind w:right="40"/>
              <w:autoSpaceDE/>
              <w:autoSpaceDN/>
              <w:widowControl/>
              <w:wordWrap/>
              <w:snapToGrid w:val="0"/>
              <w:spacing w:after="80" w:line="240" w:lineRule="auto"/>
              <w:rPr>
                <w:rFonts w:asciiTheme="minorEastAsia" w:hAnsiTheme="minorEastAsia" w:cs="굴림"/>
                <w:color w:val="000000"/>
                <w:sz w:val="18"/>
                <w:szCs w:val="20"/>
                <w:kern w:val="0"/>
              </w:rPr>
            </w:pPr>
            <w:bookmarkStart w:id="1" w:name="_top"/>
            <w:bookmarkEnd w:id="1"/>
            <w:r>
              <w:rPr>
                <w:lang w:eastAsia="ko-KR"/>
                <w:sz w:val="20"/>
                <w:rtl w:val="off"/>
              </w:rPr>
              <w:t xml:space="preserve">- </w:t>
            </w:r>
            <w:r>
              <w:rPr>
                <w:sz w:val="18"/>
                <w:szCs w:val="18"/>
              </w:rPr>
              <w:t xml:space="preserve">인간 및 다른 동물의 소화관에는 복잡한 미생물 군집이 살고 있으며 이를 장내 미생물군(Gut microbiota)이라 함. 장내 미생물군은 병원균의 장 침입 및 서식 방지, 면역조절, 장벽 기능 강화 등 장 기능 및 면역에 중요한 영향을 미침. </w:t>
            </w:r>
            <w:r>
              <w:rPr>
                <w:sz w:val="18"/>
                <w:szCs w:val="18"/>
              </w:rPr>
              <w:t>장내 미생물군은 IgA의 생성을 조절하고 생성된 IgA는 장내 미생물군의 조성을 조절하면서 상호작용 함. 이 복잡한 상호작용은 장내 미생물군의 항상성 유지에</w:t>
            </w:r>
            <w:r>
              <w:rPr>
                <w:lang w:eastAsia="ko-KR"/>
                <w:sz w:val="18"/>
                <w:szCs w:val="18"/>
                <w:rtl w:val="off"/>
              </w:rPr>
              <w:t xml:space="preserve"> 기여하며 인체 건강에 매우 중요한 영향을 미침.</w:t>
            </w:r>
          </w:p>
          <w:p>
            <w:pPr>
              <w:ind w:right="40"/>
              <w:autoSpaceDE/>
              <w:autoSpaceDN/>
              <w:widowControl/>
              <w:wordWrap/>
              <w:snapToGrid w:val="0"/>
              <w:jc w:val="center"/>
              <w:tabs>
                <w:tab w:val="center" w:pos="4567"/>
              </w:tabs>
              <w:spacing w:after="80" w:line="240" w:lineRule="auto"/>
              <w:rPr>
                <w:rFonts w:asciiTheme="minorEastAsia" w:hAnsiTheme="minorEastAsia" w:cs="굴림"/>
                <w:color w:val="000000"/>
                <w:sz w:val="18"/>
                <w:szCs w:val="20"/>
                <w:kern w:val="0"/>
              </w:rPr>
            </w:pPr>
            <w:r>
              <w:drawing>
                <wp:anchor distT="0" distB="0" distL="0" distR="0" behindDoc="0" locked="0" layoutInCell="1" simplePos="0" relativeHeight="251666432" allowOverlap="1" hidden="0">
                  <wp:simplePos x="0" y="0"/>
                  <wp:positionH relativeFrom="column">
                    <wp:posOffset>2940304</wp:posOffset>
                  </wp:positionH>
                  <wp:positionV relativeFrom="paragraph">
                    <wp:posOffset>194437</wp:posOffset>
                  </wp:positionV>
                  <wp:extent cx="1871471" cy="1785874"/>
                  <wp:effectExtent l="0" t="0" r="0" b="0"/>
                  <wp:wrapTopAndBottom/>
                  <wp:docPr id="1025" name="shape1025" hidden="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pic:cNvPicPr>
                        </pic:nvPicPr>
                        <pic:blipFill>
                          <a:blip r:embed="rId1">
                            <a:extLst>
                              <a:ext uri="{28A0092B-C50C-407E-A947-70E740481C1C}">
                                <a14:useLocalDpi xmlns:a14="http://schemas.microsoft.com/office/drawing/2010/main" val="0"/>
                              </a:ext>
                            </a:extLst>
                          </a:blip>
                          <a:srcRect l="2060" t="1006" r="885" b="1359"/>
                          <a:stretch>
                            <a:fillRect/>
                          </a:stretch>
                        </pic:blipFill>
                        <pic:spPr>
                          <a:xfrm>
                            <a:off x="0" y="0"/>
                            <a:ext cx="1871471" cy="1785874"/>
                          </a:xfrm>
                          <a:prstGeom prst="rect"/>
                          <a:ln w="0" cap="sq">
                            <a:solidFill>
                              <a:srgbClr val="000000"/>
                            </a:solidFill>
                          </a:ln>
                        </pic:spPr>
                      </pic:pic>
                    </a:graphicData>
                  </a:graphic>
                </wp:anchor>
              </w:drawing>
            </w:r>
            <w:r>
              <w:drawing>
                <wp:anchor distT="0" distB="0" distL="0" distR="0" behindDoc="0" locked="0" layoutInCell="1" simplePos="0" relativeHeight="251667456" allowOverlap="1" hidden="0">
                  <wp:simplePos x="0" y="0"/>
                  <wp:positionH relativeFrom="column">
                    <wp:posOffset>922020</wp:posOffset>
                  </wp:positionH>
                  <wp:positionV relativeFrom="paragraph">
                    <wp:posOffset>1968548</wp:posOffset>
                  </wp:positionV>
                  <wp:extent cx="1987295" cy="430275"/>
                  <wp:effectExtent l="0" t="0" r="0" b="0"/>
                  <wp:wrapTopAndBottom/>
                  <wp:docPr id="1026" name="shape1026" hidden="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pic:cNvPicPr>
                        </pic:nvPicPr>
                        <pic:blipFill>
                          <a:blip r:embed="rId2">
                            <a:extLst>
                              <a:ext uri="{28A0092B-C50C-407E-A947-70E740481C1C}">
                                <a14:useLocalDpi xmlns:a14="http://schemas.microsoft.com/office/drawing/2010/main" val="0"/>
                              </a:ext>
                            </a:extLst>
                          </a:blip>
                          <a:srcRect/>
                          <a:stretch>
                            <a:fillRect/>
                          </a:stretch>
                        </pic:blipFill>
                        <pic:spPr>
                          <a:xfrm>
                            <a:off x="0" y="0"/>
                            <a:ext cx="1987295" cy="430275"/>
                          </a:xfrm>
                          <a:prstGeom prst="rect"/>
                          <a:ln w="0" cap="sq">
                            <a:solidFill>
                              <a:srgbClr val="000000"/>
                            </a:solidFill>
                          </a:ln>
                        </pic:spPr>
                      </pic:pic>
                    </a:graphicData>
                  </a:graphic>
                </wp:anchor>
              </w:drawing>
            </w:r>
            <w:r>
              <w:drawing>
                <wp:anchor distT="0" distB="0" distL="0" distR="0" behindDoc="0" locked="0" layoutInCell="1" simplePos="0" relativeHeight="251665408" allowOverlap="1" hidden="0">
                  <wp:simplePos x="0" y="0"/>
                  <wp:positionH relativeFrom="column">
                    <wp:posOffset>929640</wp:posOffset>
                  </wp:positionH>
                  <wp:positionV relativeFrom="paragraph">
                    <wp:posOffset>141629</wp:posOffset>
                  </wp:positionV>
                  <wp:extent cx="1975104" cy="1779777"/>
                  <wp:effectExtent l="0" t="0" r="0" b="0"/>
                  <wp:wrapTopAndBottom/>
                  <wp:docPr id="1027" name="shape1027" hidden="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pic:cNvPicPr>
                        </pic:nvPicPr>
                        <pic:blipFill>
                          <a:blip r:embed="rId3">
                            <a:extLst>
                              <a:ext uri="{28A0092B-C50C-407E-A947-70E740481C1C}">
                                <a14:useLocalDpi xmlns:a14="http://schemas.microsoft.com/office/drawing/2010/main" val="0"/>
                              </a:ext>
                            </a:extLst>
                          </a:blip>
                          <a:srcRect l="917" t="323"/>
                          <a:stretch>
                            <a:fillRect/>
                          </a:stretch>
                        </pic:blipFill>
                        <pic:spPr>
                          <a:xfrm>
                            <a:off x="0" y="0"/>
                            <a:ext cx="1975104" cy="1779777"/>
                          </a:xfrm>
                          <a:prstGeom prst="rect"/>
                          <a:ln w="0" cap="sq">
                            <a:solidFill>
                              <a:srgbClr val="000000"/>
                            </a:solidFill>
                          </a:ln>
                        </pic:spPr>
                      </pic:pic>
                    </a:graphicData>
                  </a:graphic>
                </wp:anchor>
              </w:drawing>
            </w:r>
            <w:r>
              <w:rPr>
                <w:rFonts w:asciiTheme="minorEastAsia" w:hAnsiTheme="minorEastAsia" w:cs="굴림"/>
                <w:color w:val="000000"/>
                <w:sz w:val="18"/>
                <w:szCs w:val="20"/>
                <w:kern w:val="0"/>
              </w:rPr>
              <w:t>그림 1. 페이에르판에서의 면역반응(왼쪽)과 IgA 항체와 미생물군의 상호작용</w:t>
            </w:r>
          </w:p>
          <w:p>
            <w:pPr>
              <w:ind w:right="40"/>
              <w:autoSpaceDE/>
              <w:autoSpaceDN/>
              <w:widowControl/>
              <w:wordWrap/>
              <w:snapToGrid w:val="0"/>
              <w:tabs>
                <w:tab w:val="left" w:pos="1798"/>
              </w:tabs>
              <w:spacing w:after="80" w:line="240" w:lineRule="auto"/>
              <w:rPr>
                <w:rFonts w:asciiTheme="minorEastAsia" w:hAnsiTheme="minorEastAsia" w:cs="굴림"/>
                <w:color w:val="000000"/>
                <w:sz w:val="18"/>
                <w:szCs w:val="20"/>
                <w:kern w:val="0"/>
              </w:rPr>
            </w:pPr>
            <w:r>
              <w:rPr>
                <w:rFonts w:asciiTheme="minorEastAsia" w:hAnsiTheme="minorEastAsia" w:cs="굴림"/>
                <w:color w:val="000000"/>
                <w:sz w:val="18"/>
                <w:szCs w:val="20"/>
                <w:kern w:val="0"/>
              </w:rPr>
              <w:t>- 다양한 원인으로 인해 장내 미생물군의 항상성이 붕괴 될 수 있는데 이를 장내 세균총의 불균형(Microbial dysbiosis)이라 함. 장내 세균총 불균형으로 인체에 해로운 미생물의 성장이 우세해지고 이로 인한 점막 감염은 심각한 염증 반응을 일으키며 다양한 위장 장애의 원인이 됨.</w:t>
            </w:r>
          </w:p>
          <w:p>
            <w:pPr>
              <w:ind w:right="40"/>
              <w:autoSpaceDE/>
              <w:autoSpaceDN/>
              <w:widowControl/>
              <w:wordWrap/>
              <w:snapToGrid w:val="0"/>
              <w:tabs>
                <w:tab w:val="left" w:pos="1798"/>
              </w:tabs>
              <w:spacing w:after="80" w:line="240" w:lineRule="auto"/>
              <w:rPr>
                <w:rFonts w:asciiTheme="minorEastAsia" w:hAnsiTheme="minorEastAsia" w:cs="굴림"/>
                <w:color w:val="000000"/>
                <w:sz w:val="18"/>
                <w:szCs w:val="20"/>
                <w:kern w:val="0"/>
              </w:rPr>
            </w:pPr>
            <w:r>
              <w:rPr>
                <w:rFonts w:asciiTheme="minorEastAsia" w:hAnsiTheme="minorEastAsia" w:cs="굴림"/>
                <w:color w:val="000000"/>
                <w:sz w:val="18"/>
                <w:szCs w:val="20"/>
                <w:kern w:val="0"/>
              </w:rPr>
              <w:t>- 현재까지 페이에르판에서 분비되는 IgA 항체에 의한 점막면역을 생체 외에서 구현하는 기술이 없어 소장에서의 점막면역과 관련된 모든 연구는 주로 동물 실험이 사용됨. 그러나 동물 실험은 시간, 비용, 윤리적 측면 등에서 문제 뿐만 아니라 종간 차이로 인한 결과의 신뢰성 문제도 야기함.</w:t>
            </w:r>
            <w:r>
              <w:rPr>
                <w:rFonts w:asciiTheme="minorEastAsia" w:hAnsiTheme="minorEastAsia" w:cs="굴림"/>
                <w:color w:val="000000"/>
                <w:sz w:val="18"/>
                <w:szCs w:val="20"/>
                <w:kern w:val="0"/>
              </w:rPr>
              <w:tab/>
            </w:r>
          </w:p>
        </w:tc>
      </w:tr>
      <w:tr>
        <w:trPr>
          <w:trHeight w:val="278" w:hRule="exact"/>
        </w:trPr>
        <w:tc>
          <w:tcPr>
            <w:tcW w:w="9230"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pPr>
              <w:ind w:left="40" w:right="40"/>
              <w:autoSpaceDE/>
              <w:autoSpaceDN/>
              <w:widowControl/>
              <w:wordWrap/>
              <w:snapToGrid w:val="0"/>
              <w:spacing w:after="80" w:line="312" w:lineRule="auto"/>
              <w:rPr>
                <w:rFonts w:asciiTheme="minorEastAsia" w:hAnsiTheme="minorEastAsia" w:cs="굴림"/>
                <w:color w:val="000000"/>
                <w:sz w:val="6"/>
                <w:szCs w:val="20"/>
                <w:kern w:val="0"/>
              </w:rPr>
            </w:pPr>
          </w:p>
        </w:tc>
      </w:tr>
      <w:tr>
        <w:trPr>
          <w:trHeight w:val="446" w:hRule="atLeast"/>
        </w:trPr>
        <w:tc>
          <w:tcPr>
            <w:tcW w:w="9230"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pPr>
              <w:ind w:left="40" w:right="40"/>
              <w:autoSpaceDE/>
              <w:autoSpaceDN/>
              <w:widowControl/>
              <w:wordWrap/>
              <w:snapToGrid w:val="0"/>
              <w:spacing w:after="80" w:line="240" w:lineRule="auto"/>
              <w:rPr>
                <w:rFonts w:asciiTheme="minorEastAsia" w:hAnsiTheme="minorEastAsia" w:cs="굴림"/>
                <w:color w:val="000000"/>
                <w:szCs w:val="20"/>
                <w:kern w:val="0"/>
              </w:rPr>
            </w:pPr>
            <w:r>
              <w:rPr>
                <w:rFonts w:asciiTheme="minorEastAsia" w:hAnsiTheme="minorEastAsia" w:cs="굴림"/>
                <w:b/>
                <w:bCs/>
                <w:color w:val="000000"/>
                <w:sz w:val="22"/>
                <w:kern w:val="0"/>
              </w:rPr>
              <w:t xml:space="preserve">3. </w:t>
            </w:r>
            <w:r>
              <w:rPr>
                <w:rFonts w:asciiTheme="minorEastAsia" w:hAnsiTheme="minorEastAsia" w:cs="굴림"/>
                <w:b/>
                <w:bCs/>
                <w:color w:val="000000"/>
                <w:sz w:val="22"/>
                <w:kern w:val="0"/>
              </w:rPr>
              <w:t>연구 목적</w:t>
            </w:r>
          </w:p>
        </w:tc>
      </w:tr>
      <w:tr>
        <w:trPr>
          <w:trHeight w:val="1129" w:hRule="atLeast"/>
        </w:trPr>
        <w:tc>
          <w:tcPr>
            <w:tcW w:w="9230"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pPr>
              <w:ind w:right="40"/>
              <w:autoSpaceDE/>
              <w:autoSpaceDN/>
              <w:widowControl/>
              <w:wordWrap/>
              <w:snapToGrid w:val="0"/>
              <w:spacing w:after="80" w:line="240" w:lineRule="auto"/>
              <w:rPr>
                <w:lang w:eastAsia="ko-KR"/>
                <w:rFonts w:asciiTheme="minorEastAsia" w:hAnsiTheme="minorEastAsia" w:cs="굴림"/>
                <w:color w:val="000000"/>
                <w:kern w:val="0"/>
                <w:rtl w:val="off"/>
              </w:rPr>
            </w:pPr>
            <w:r>
              <w:rPr>
                <w:lang w:eastAsia="ko-KR"/>
                <w:rFonts w:asciiTheme="minorEastAsia" w:hAnsiTheme="minorEastAsia" w:cs="굴림"/>
                <w:color w:val="000000"/>
                <w:kern w:val="0"/>
                <w:rtl w:val="off"/>
              </w:rPr>
              <w:t xml:space="preserve">- </w:t>
            </w:r>
            <w:r>
              <w:rPr>
                <w:rFonts w:asciiTheme="minorEastAsia" w:hAnsiTheme="minorEastAsia" w:cs="굴림"/>
                <w:color w:val="000000"/>
                <w:kern w:val="0"/>
              </w:rPr>
              <w:t xml:space="preserve">생체학적으로 페이에르판(Peyer’s patch)과 유사한 구조와 환경을 모사한 미세 유체 플랫폼에 혈액에서 추출한 면역세포를 배양하여 분자 수준에서 면역세포와 점막에 분포한 미생물의 상호작용을 관찰하고 그로 인한 점막면역의 변화를 분석하는 것을 목적으로 함. </w:t>
            </w:r>
          </w:p>
          <w:p>
            <w:pPr>
              <w:ind w:right="40"/>
              <w:autoSpaceDE/>
              <w:autoSpaceDN/>
              <w:widowControl/>
              <w:wordWrap/>
              <w:snapToGrid w:val="0"/>
              <w:spacing w:after="80" w:line="240" w:lineRule="auto"/>
              <w:rPr>
                <w:rFonts w:asciiTheme="minorEastAsia" w:hAnsiTheme="minorEastAsia" w:cs="굴림"/>
                <w:color w:val="000000"/>
                <w:kern w:val="0"/>
              </w:rPr>
            </w:pPr>
            <w:r>
              <w:rPr>
                <w:lang w:eastAsia="ko-KR"/>
                <w:rFonts w:asciiTheme="minorEastAsia" w:hAnsiTheme="minorEastAsia" w:cs="굴림"/>
                <w:color w:val="000000"/>
                <w:kern w:val="0"/>
                <w:rtl w:val="off"/>
              </w:rPr>
              <w:t xml:space="preserve">- </w:t>
            </w:r>
            <w:r>
              <w:rPr>
                <w:rFonts w:asciiTheme="minorEastAsia" w:hAnsiTheme="minorEastAsia" w:cs="굴림"/>
                <w:color w:val="000000"/>
                <w:kern w:val="0"/>
              </w:rPr>
              <w:t>위 기술을 통해 병원균 또는 장내 미생물군의 불균형에 의한 소화기 질환, 자가면역질환, 유산균의 장관에 미치는 영향 등 다양한 미생물과 장관의 상호작용을 연구하고 소화기 질환의 약물로 사용될 수 있는 유산균을 스크리닝하는 플랫폼으로 사용하고자 함.</w:t>
            </w:r>
          </w:p>
        </w:tc>
      </w:tr>
      <w:tr>
        <w:trPr>
          <w:trHeight w:val="256" w:hRule="atLeast"/>
        </w:trPr>
        <w:tc>
          <w:tcPr>
            <w:tcW w:w="9230"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pPr>
              <w:ind w:left="40" w:right="40"/>
              <w:autoSpaceDE/>
              <w:autoSpaceDN/>
              <w:widowControl/>
              <w:wordWrap/>
              <w:snapToGrid w:val="0"/>
              <w:spacing w:after="80" w:line="312" w:lineRule="auto"/>
              <w:rPr>
                <w:rFonts w:asciiTheme="minorEastAsia" w:hAnsiTheme="minorEastAsia" w:cs="굴림"/>
                <w:color w:val="000000"/>
                <w:szCs w:val="20"/>
                <w:kern w:val="0"/>
              </w:rPr>
            </w:pPr>
          </w:p>
        </w:tc>
      </w:tr>
      <w:tr>
        <w:trPr>
          <w:trHeight w:val="446" w:hRule="atLeast"/>
        </w:trPr>
        <w:tc>
          <w:tcPr>
            <w:tcW w:w="9230"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pPr>
              <w:ind w:left="40" w:right="40"/>
              <w:autoSpaceDE/>
              <w:autoSpaceDN/>
              <w:widowControl/>
              <w:wordWrap/>
              <w:snapToGrid w:val="0"/>
              <w:spacing w:after="0" w:line="240" w:lineRule="auto"/>
              <w:rPr>
                <w:rFonts w:asciiTheme="minorEastAsia" w:hAnsiTheme="minorEastAsia" w:cs="굴림"/>
                <w:color w:val="000000"/>
                <w:szCs w:val="20"/>
                <w:kern w:val="0"/>
              </w:rPr>
            </w:pPr>
            <w:r>
              <w:rPr>
                <w:rFonts w:asciiTheme="minorEastAsia" w:hAnsiTheme="minorEastAsia" w:cs="굴림"/>
                <w:b/>
                <w:bCs/>
                <w:color w:val="000000"/>
                <w:sz w:val="22"/>
                <w:kern w:val="0"/>
              </w:rPr>
              <w:t xml:space="preserve">4. </w:t>
            </w:r>
            <w:r>
              <w:rPr>
                <w:rFonts w:asciiTheme="minorEastAsia" w:hAnsiTheme="minorEastAsia" w:cs="굴림"/>
                <w:b/>
                <w:bCs/>
                <w:color w:val="000000"/>
                <w:sz w:val="22"/>
                <w:kern w:val="0"/>
              </w:rPr>
              <w:t>인체유래물 등의 수집방법</w:t>
            </w:r>
          </w:p>
        </w:tc>
      </w:tr>
      <w:tr>
        <w:trPr>
          <w:trHeight w:val="2812" w:hRule="exact"/>
        </w:trPr>
        <w:tc>
          <w:tcPr>
            <w:tcW w:w="9230"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pPr>
              <w:ind w:right="120"/>
              <w:autoSpaceDE/>
              <w:autoSpaceDN/>
              <w:widowControl/>
              <w:wordWrap/>
              <w:snapToGrid w:val="0"/>
              <w:spacing w:after="0" w:line="240" w:lineRule="auto"/>
              <w:rPr>
                <w:rFonts w:asciiTheme="minorEastAsia" w:hAnsiTheme="minorEastAsia" w:cs="굴림"/>
                <w:color w:val="000000"/>
                <w:kern w:val="0"/>
              </w:rPr>
            </w:pPr>
            <w:r>
              <w:rPr>
                <w:rFonts w:asciiTheme="minorEastAsia" w:hAnsiTheme="minorEastAsia" w:cs="굴림"/>
                <w:color w:val="000000"/>
                <w:kern w:val="0"/>
              </w:rPr>
              <w:t xml:space="preserve">취약성의 논란이 없고 자발적 의지를 가진 </w:t>
            </w:r>
            <w:r>
              <w:rPr>
                <w:rFonts w:asciiTheme="minorEastAsia" w:hAnsiTheme="minorEastAsia" w:cs="굴림"/>
                <w:color w:val="000000"/>
                <w:kern w:val="0"/>
              </w:rPr>
              <w:t>지원자를 선발하여 울산과학기술원에서</w:t>
            </w:r>
            <w:r>
              <w:rPr>
                <w:rFonts w:asciiTheme="minorEastAsia" w:hAnsiTheme="minorEastAsia" w:cs="굴림"/>
                <w:color w:val="000000"/>
                <w:kern w:val="0"/>
              </w:rPr>
              <w:t xml:space="preserve"> 채혈할 예정</w:t>
            </w:r>
            <w:r>
              <w:rPr>
                <w:rFonts w:asciiTheme="minorEastAsia" w:hAnsiTheme="minorEastAsia" w:cs="굴림"/>
                <w:color w:val="000000"/>
                <w:kern w:val="0"/>
              </w:rPr>
              <w:t>(매 실험 시 30 mL이하 혈액 채취)</w:t>
            </w:r>
            <w:r>
              <w:rPr>
                <w:rFonts w:asciiTheme="minorEastAsia" w:hAnsiTheme="minorEastAsia" w:cs="굴림"/>
                <w:color w:val="000000"/>
                <w:kern w:val="0"/>
              </w:rPr>
              <w:t xml:space="preserve">. </w:t>
            </w:r>
            <w:r>
              <w:rPr>
                <w:rFonts w:asciiTheme="minorEastAsia" w:hAnsiTheme="minorEastAsia" w:cs="굴림"/>
                <w:color w:val="000000"/>
                <w:kern w:val="0"/>
              </w:rPr>
              <w:t>울산과학기술원 헬스케어센터(</w:t>
            </w:r>
            <w:r>
              <w:rPr>
                <w:rFonts w:asciiTheme="minorEastAsia" w:hAnsiTheme="minorEastAsia" w:cs="굴림"/>
                <w:color w:val="000000"/>
                <w:kern w:val="0"/>
              </w:rPr>
              <w:t>201</w:t>
            </w:r>
            <w:r>
              <w:rPr>
                <w:rFonts w:asciiTheme="minorEastAsia" w:hAnsiTheme="minorEastAsia" w:cs="굴림"/>
                <w:color w:val="000000"/>
                <w:kern w:val="0"/>
              </w:rPr>
              <w:t xml:space="preserve">동) 간호사 자격의 보건 </w:t>
            </w:r>
            <w:r>
              <w:rPr>
                <w:rFonts w:asciiTheme="minorEastAsia" w:hAnsiTheme="minorEastAsia" w:cs="굴림"/>
                <w:color w:val="000000"/>
                <w:kern w:val="0"/>
              </w:rPr>
              <w:t>담당자의 도움</w:t>
            </w:r>
            <w:r>
              <w:rPr>
                <w:rFonts w:asciiTheme="minorEastAsia" w:hAnsiTheme="minorEastAsia" w:cs="굴림"/>
                <w:color w:val="000000"/>
                <w:kern w:val="0"/>
              </w:rPr>
              <w:t>(협의 완료)</w:t>
            </w:r>
            <w:r>
              <w:rPr>
                <w:rFonts w:asciiTheme="minorEastAsia" w:hAnsiTheme="minorEastAsia" w:cs="굴림"/>
                <w:color w:val="000000"/>
                <w:kern w:val="0"/>
              </w:rPr>
              <w:t xml:space="preserve">을 통해 </w:t>
            </w:r>
            <w:r>
              <w:rPr>
                <w:rFonts w:asciiTheme="minorEastAsia" w:hAnsiTheme="minorEastAsia" w:cs="굴림"/>
                <w:color w:val="000000"/>
                <w:kern w:val="0"/>
              </w:rPr>
              <w:t xml:space="preserve">정맥주사로 혈액을 채취해 헤파린 튜브 (heparin tube) 에 담아 </w:t>
            </w:r>
            <w:r>
              <w:rPr>
                <w:rFonts w:asciiTheme="minorEastAsia" w:hAnsiTheme="minorEastAsia" w:cs="굴림"/>
                <w:color w:val="000000"/>
                <w:kern w:val="0"/>
              </w:rPr>
              <w:t>즉시 연구에 이용할 예정이며,</w:t>
            </w:r>
            <w:r>
              <w:rPr>
                <w:rFonts w:asciiTheme="minorEastAsia" w:hAnsiTheme="minorEastAsia" w:cs="굴림"/>
                <w:color w:val="000000"/>
                <w:kern w:val="0"/>
              </w:rPr>
              <w:t xml:space="preserve"> </w:t>
            </w:r>
            <w:r>
              <w:rPr>
                <w:rFonts w:asciiTheme="minorEastAsia" w:hAnsiTheme="minorEastAsia" w:cs="굴림"/>
                <w:color w:val="000000"/>
                <w:kern w:val="0"/>
              </w:rPr>
              <w:t xml:space="preserve">불가피한 경우 </w:t>
            </w:r>
            <w:r>
              <w:rPr>
                <w:rFonts w:asciiTheme="minorEastAsia" w:hAnsiTheme="minorEastAsia" w:cs="굴림"/>
                <w:color w:val="000000"/>
                <w:kern w:val="0"/>
              </w:rPr>
              <w:t xml:space="preserve">4 </w:t>
            </w:r>
            <w:r>
              <w:rPr>
                <w:rFonts w:ascii="Times New Roman" w:hAnsi="Times New Roman" w:cs="Times New Roman"/>
                <w:color w:val="000000"/>
                <w:kern w:val="0"/>
              </w:rPr>
              <w:t xml:space="preserve">°C </w:t>
            </w:r>
            <w:r>
              <w:rPr>
                <w:rFonts w:ascii="Times New Roman" w:hAnsi="Times New Roman" w:cs="Times New Roman" w:hint="eastAsia"/>
                <w:color w:val="000000"/>
                <w:kern w:val="0"/>
              </w:rPr>
              <w:t>연구시약</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전용냉장시설에서</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단시간</w:t>
            </w:r>
            <w:r>
              <w:rPr>
                <w:rFonts w:ascii="Times New Roman" w:hAnsi="Times New Roman" w:cs="Times New Roman"/>
                <w:color w:val="000000"/>
                <w:kern w:val="0"/>
              </w:rPr>
              <w:t>(6</w:t>
            </w:r>
            <w:r>
              <w:rPr>
                <w:rFonts w:ascii="Times New Roman" w:hAnsi="Times New Roman" w:cs="Times New Roman" w:hint="eastAsia"/>
                <w:color w:val="000000"/>
                <w:kern w:val="0"/>
              </w:rPr>
              <w:t>시간이하</w:t>
            </w:r>
            <w:r>
              <w:rPr>
                <w:rFonts w:ascii="Times New Roman" w:hAnsi="Times New Roman" w:cs="Times New Roman" w:hint="eastAsia"/>
                <w:color w:val="000000"/>
                <w:kern w:val="0"/>
              </w:rPr>
              <w:t>)</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보관</w:t>
            </w:r>
            <w:r>
              <w:rPr>
                <w:rFonts w:ascii="Times New Roman" w:hAnsi="Times New Roman" w:cs="Times New Roman" w:hint="eastAsia"/>
                <w:color w:val="000000"/>
                <w:kern w:val="0"/>
              </w:rPr>
              <w:t>할</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예정</w:t>
            </w:r>
            <w:r>
              <w:rPr>
                <w:rFonts w:ascii="Times New Roman" w:hAnsi="Times New Roman" w:cs="Times New Roman" w:hint="eastAsia"/>
                <w:color w:val="000000"/>
                <w:kern w:val="0"/>
              </w:rPr>
              <w:t>임</w:t>
            </w:r>
            <w:r>
              <w:rPr>
                <w:rFonts w:ascii="Times New Roman" w:hAnsi="Times New Roman" w:cs="Times New Roman" w:hint="eastAsia"/>
                <w:color w:val="000000"/>
                <w:kern w:val="0"/>
              </w:rPr>
              <w:t>.</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나이</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및</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성별을</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수집하되</w:t>
            </w:r>
            <w:r>
              <w:rPr>
                <w:rFonts w:ascii="Times New Roman" w:hAnsi="Times New Roman" w:cs="Times New Roman" w:hint="eastAsia"/>
                <w:color w:val="000000"/>
                <w:kern w:val="0"/>
              </w:rPr>
              <w:t xml:space="preserve">, </w:t>
            </w:r>
            <w:r>
              <w:rPr>
                <w:rFonts w:asciiTheme="minorEastAsia" w:hAnsiTheme="minorEastAsia" w:cs="굴림"/>
                <w:color w:val="000000"/>
                <w:kern w:val="0"/>
              </w:rPr>
              <w:t>개</w:t>
            </w:r>
            <w:r>
              <w:rPr>
                <w:rFonts w:asciiTheme="minorEastAsia" w:hAnsiTheme="minorEastAsia" w:cs="굴림"/>
                <w:color w:val="000000"/>
                <w:kern w:val="0"/>
              </w:rPr>
              <w:t>인식별정</w:t>
            </w:r>
            <w:r>
              <w:rPr>
                <w:rFonts w:asciiTheme="minorEastAsia" w:hAnsiTheme="minorEastAsia" w:cs="굴림"/>
                <w:color w:val="000000"/>
                <w:kern w:val="0"/>
              </w:rPr>
              <w:t>보</w:t>
            </w:r>
            <w:r>
              <w:rPr>
                <w:rFonts w:asciiTheme="minorEastAsia" w:hAnsiTheme="minorEastAsia" w:cs="굴림"/>
                <w:color w:val="000000"/>
                <w:kern w:val="0"/>
              </w:rPr>
              <w:t xml:space="preserve"> 전부 고유식별기호로 대체될 것임.</w:t>
            </w:r>
            <w:r>
              <w:rPr>
                <w:rFonts w:asciiTheme="minorEastAsia" w:hAnsiTheme="minorEastAsia" w:cs="굴림"/>
                <w:color w:val="000000"/>
                <w:kern w:val="0"/>
              </w:rPr>
              <w:t xml:space="preserve">  </w:t>
            </w:r>
          </w:p>
        </w:tc>
      </w:tr>
      <w:tr>
        <w:trPr>
          <w:trHeight w:val="256" w:hRule="atLeast"/>
        </w:trPr>
        <w:tc>
          <w:tcPr>
            <w:tcW w:w="9230"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pPr>
              <w:ind w:left="40" w:right="40"/>
              <w:autoSpaceDE/>
              <w:autoSpaceDN/>
              <w:widowControl/>
              <w:wordWrap/>
              <w:snapToGrid w:val="0"/>
              <w:spacing w:after="80" w:line="312" w:lineRule="auto"/>
              <w:rPr>
                <w:rFonts w:asciiTheme="minorEastAsia" w:hAnsiTheme="minorEastAsia" w:cs="굴림"/>
                <w:color w:val="000000"/>
                <w:szCs w:val="20"/>
                <w:kern w:val="0"/>
              </w:rPr>
            </w:pPr>
          </w:p>
        </w:tc>
      </w:tr>
      <w:tr>
        <w:trPr>
          <w:trHeight w:val="446" w:hRule="atLeast"/>
        </w:trPr>
        <w:tc>
          <w:tcPr>
            <w:tcW w:w="9230"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pPr>
              <w:ind w:left="40" w:right="40"/>
              <w:autoSpaceDE/>
              <w:autoSpaceDN/>
              <w:widowControl/>
              <w:wordWrap/>
              <w:snapToGrid w:val="0"/>
              <w:spacing w:after="0" w:line="240" w:lineRule="auto"/>
              <w:rPr>
                <w:rFonts w:asciiTheme="minorEastAsia" w:hAnsiTheme="minorEastAsia" w:cs="굴림"/>
                <w:color w:val="000000"/>
                <w:szCs w:val="20"/>
                <w:kern w:val="0"/>
              </w:rPr>
            </w:pPr>
            <w:r>
              <w:rPr>
                <w:rFonts w:asciiTheme="minorEastAsia" w:hAnsiTheme="minorEastAsia" w:cs="굴림"/>
                <w:b/>
                <w:bCs/>
                <w:color w:val="000000"/>
                <w:sz w:val="22"/>
                <w:kern w:val="0"/>
              </w:rPr>
              <w:t xml:space="preserve">5. </w:t>
            </w:r>
            <w:r>
              <w:rPr>
                <w:rFonts w:asciiTheme="minorEastAsia" w:hAnsiTheme="minorEastAsia" w:cs="굴림"/>
                <w:b/>
                <w:bCs/>
                <w:color w:val="000000"/>
                <w:sz w:val="22"/>
                <w:kern w:val="0"/>
              </w:rPr>
              <w:t>제공기관</w:t>
            </w:r>
          </w:p>
        </w:tc>
      </w:tr>
      <w:tr>
        <w:trPr>
          <w:trHeight w:val="3023" w:hRule="exact"/>
        </w:trPr>
        <w:tc>
          <w:tcPr>
            <w:tcW w:w="9230"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pPr>
              <w:ind w:left="40" w:right="40"/>
              <w:autoSpaceDE/>
              <w:autoSpaceDN/>
              <w:widowControl/>
              <w:wordWrap/>
              <w:snapToGrid w:val="0"/>
              <w:spacing w:after="80" w:line="240" w:lineRule="auto"/>
              <w:rPr>
                <w:rFonts w:asciiTheme="minorEastAsia" w:hAnsiTheme="minorEastAsia" w:cs="굴림"/>
                <w:color w:val="000000"/>
                <w:kern w:val="0"/>
              </w:rPr>
            </w:pPr>
            <w:r>
              <w:rPr>
                <w:rFonts w:asciiTheme="minorEastAsia" w:hAnsiTheme="minorEastAsia" w:cs="굴림"/>
                <w:color w:val="000000"/>
                <w:kern w:val="0"/>
              </w:rPr>
              <w:t xml:space="preserve">취약성 논란이 없고 </w:t>
            </w:r>
            <w:r>
              <w:rPr>
                <w:rFonts w:asciiTheme="minorEastAsia" w:hAnsiTheme="minorEastAsia" w:cs="굴림"/>
                <w:color w:val="000000"/>
                <w:kern w:val="0"/>
              </w:rPr>
              <w:t xml:space="preserve">자발적인 의지를 가진 </w:t>
            </w:r>
            <w:r>
              <w:rPr>
                <w:rFonts w:asciiTheme="minorEastAsia" w:hAnsiTheme="minorEastAsia" w:cs="굴림"/>
                <w:color w:val="000000"/>
                <w:kern w:val="0"/>
              </w:rPr>
              <w:t xml:space="preserve">자원자를 모집하여 </w:t>
            </w:r>
            <w:r>
              <w:rPr>
                <w:rFonts w:asciiTheme="minorEastAsia" w:hAnsiTheme="minorEastAsia" w:cs="굴림"/>
                <w:color w:val="000000"/>
                <w:kern w:val="0"/>
              </w:rPr>
              <w:t>울산과학기술원 헬스케어센터(</w:t>
            </w:r>
            <w:r>
              <w:rPr>
                <w:rFonts w:asciiTheme="minorEastAsia" w:hAnsiTheme="minorEastAsia" w:cs="굴림"/>
                <w:color w:val="000000"/>
                <w:kern w:val="0"/>
              </w:rPr>
              <w:t>201</w:t>
            </w:r>
            <w:r>
              <w:rPr>
                <w:rFonts w:asciiTheme="minorEastAsia" w:hAnsiTheme="minorEastAsia" w:cs="굴림"/>
                <w:color w:val="000000"/>
                <w:kern w:val="0"/>
              </w:rPr>
              <w:t>동) 간호사 자격의 보건 담당자의 도움(협의 완료)을 통해 정맥주사로 혈액을 채취</w:t>
            </w:r>
            <w:r>
              <w:rPr>
                <w:rFonts w:asciiTheme="minorEastAsia" w:hAnsiTheme="minorEastAsia" w:cs="굴림"/>
                <w:color w:val="000000"/>
                <w:kern w:val="0"/>
              </w:rPr>
              <w:t>할 예정임.</w:t>
            </w:r>
            <w:r>
              <w:rPr>
                <w:rFonts w:asciiTheme="minorEastAsia" w:hAnsiTheme="minorEastAsia" w:cs="굴림"/>
                <w:color w:val="000000"/>
                <w:kern w:val="0"/>
              </w:rPr>
              <w:t xml:space="preserve"> </w:t>
            </w:r>
          </w:p>
          <w:p>
            <w:pPr>
              <w:ind w:left="40" w:right="40"/>
              <w:autoSpaceDE/>
              <w:autoSpaceDN/>
              <w:widowControl/>
              <w:wordWrap/>
              <w:snapToGrid w:val="0"/>
              <w:spacing w:after="80" w:line="240" w:lineRule="auto"/>
              <w:rPr>
                <w:rFonts w:asciiTheme="minorEastAsia" w:hAnsiTheme="minorEastAsia" w:cs="굴림"/>
                <w:color w:val="000000"/>
                <w:szCs w:val="20"/>
                <w:kern w:val="0"/>
              </w:rPr>
            </w:pPr>
          </w:p>
        </w:tc>
      </w:tr>
      <w:tr>
        <w:trPr>
          <w:trHeight w:val="287" w:hRule="atLeast"/>
        </w:trPr>
        <w:tc>
          <w:tcPr>
            <w:tcW w:w="9230"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pPr>
              <w:ind w:left="40" w:right="40"/>
              <w:autoSpaceDE/>
              <w:autoSpaceDN/>
              <w:widowControl/>
              <w:wordWrap/>
              <w:snapToGrid w:val="0"/>
              <w:spacing w:after="80" w:line="312" w:lineRule="auto"/>
              <w:rPr>
                <w:rFonts w:asciiTheme="minorEastAsia" w:hAnsiTheme="minorEastAsia" w:cs="굴림"/>
                <w:color w:val="000000"/>
                <w:szCs w:val="20"/>
                <w:kern w:val="0"/>
              </w:rPr>
            </w:pPr>
          </w:p>
        </w:tc>
      </w:tr>
      <w:tr>
        <w:trPr>
          <w:trHeight w:val="434" w:hRule="atLeast"/>
        </w:trPr>
        <w:tc>
          <w:tcPr>
            <w:tcW w:w="9230"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pPr>
              <w:ind w:left="40" w:right="40"/>
              <w:autoSpaceDE/>
              <w:autoSpaceDN/>
              <w:widowControl/>
              <w:wordWrap/>
              <w:snapToGrid w:val="0"/>
              <w:spacing w:after="0" w:line="240" w:lineRule="auto"/>
              <w:rPr>
                <w:rFonts w:asciiTheme="minorEastAsia" w:hAnsiTheme="minorEastAsia" w:cs="굴림"/>
                <w:color w:val="000000"/>
                <w:szCs w:val="20"/>
                <w:kern w:val="0"/>
              </w:rPr>
            </w:pPr>
            <w:r>
              <w:rPr>
                <w:rFonts w:asciiTheme="minorEastAsia" w:hAnsiTheme="minorEastAsia" w:cs="굴림"/>
                <w:b/>
                <w:bCs/>
                <w:color w:val="000000"/>
                <w:sz w:val="22"/>
                <w:kern w:val="0"/>
              </w:rPr>
              <w:t xml:space="preserve">6. </w:t>
            </w:r>
            <w:r>
              <w:rPr>
                <w:rFonts w:asciiTheme="minorEastAsia" w:hAnsiTheme="minorEastAsia" w:cs="굴림"/>
                <w:b/>
                <w:bCs/>
                <w:color w:val="000000"/>
                <w:sz w:val="22"/>
                <w:kern w:val="0"/>
              </w:rPr>
              <w:t>연구대상자 동의</w:t>
            </w:r>
          </w:p>
        </w:tc>
      </w:tr>
      <w:tr>
        <w:trPr>
          <w:trHeight w:val="1904" w:hRule="exact"/>
        </w:trPr>
        <w:tc>
          <w:tcPr>
            <w:tcW w:w="9230"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pPr>
              <w:ind w:right="40"/>
              <w:autoSpaceDE/>
              <w:autoSpaceDN/>
              <w:widowControl/>
              <w:wordWrap/>
              <w:snapToGrid w:val="0"/>
              <w:spacing w:after="0"/>
              <w:rPr>
                <w:rFonts w:asciiTheme="minorEastAsia" w:hAnsiTheme="minorEastAsia" w:cs="굴림"/>
                <w:color w:val="000000"/>
                <w:kern w:val="0"/>
              </w:rPr>
            </w:pPr>
            <w:r>
              <w:rPr>
                <w:rFonts w:asciiTheme="minorEastAsia" w:hAnsiTheme="minorEastAsia" w:cs="굴림"/>
                <w:color w:val="000000"/>
                <w:kern w:val="0"/>
              </w:rPr>
              <w:t>IRB_서식6.</w:t>
            </w:r>
            <w:r>
              <w:rPr>
                <w:rFonts w:asciiTheme="minorEastAsia" w:hAnsiTheme="minorEastAsia" w:cs="굴림"/>
                <w:color w:val="000000"/>
                <w:kern w:val="0"/>
              </w:rPr>
              <w:t xml:space="preserve"> </w:t>
            </w:r>
            <w:r>
              <w:rPr>
                <w:rFonts w:asciiTheme="minorEastAsia" w:hAnsiTheme="minorEastAsia" w:cs="굴림"/>
                <w:color w:val="000000"/>
                <w:kern w:val="0"/>
              </w:rPr>
              <w:t>연구대상자 동의설명문 첨부함.</w:t>
            </w:r>
            <w:r>
              <w:rPr>
                <w:rFonts w:asciiTheme="minorEastAsia" w:hAnsiTheme="minorEastAsia" w:cs="굴림"/>
                <w:color w:val="000000"/>
                <w:kern w:val="0"/>
              </w:rPr>
              <w:t xml:space="preserve"> </w:t>
            </w:r>
          </w:p>
        </w:tc>
      </w:tr>
      <w:tr>
        <w:trPr>
          <w:trHeight w:val="303" w:hRule="atLeast"/>
        </w:trPr>
        <w:tc>
          <w:tcPr>
            <w:tcW w:w="9230"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pPr>
              <w:ind w:left="40" w:right="40"/>
              <w:autoSpaceDE/>
              <w:autoSpaceDN/>
              <w:widowControl/>
              <w:wordWrap/>
              <w:snapToGrid w:val="0"/>
              <w:spacing w:after="80" w:line="312" w:lineRule="auto"/>
              <w:rPr>
                <w:rFonts w:asciiTheme="minorEastAsia" w:hAnsiTheme="minorEastAsia" w:cs="굴림"/>
                <w:color w:val="000000"/>
                <w:szCs w:val="20"/>
                <w:kern w:val="0"/>
              </w:rPr>
            </w:pPr>
          </w:p>
        </w:tc>
      </w:tr>
      <w:tr>
        <w:trPr>
          <w:trHeight w:val="456" w:hRule="atLeast"/>
        </w:trPr>
        <w:tc>
          <w:tcPr>
            <w:tcW w:w="9230"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pPr>
              <w:ind w:left="40" w:right="40"/>
              <w:autoSpaceDE/>
              <w:autoSpaceDN/>
              <w:widowControl/>
              <w:wordWrap/>
              <w:snapToGrid w:val="0"/>
              <w:spacing w:after="0" w:line="240" w:lineRule="auto"/>
              <w:rPr>
                <w:rFonts w:asciiTheme="minorEastAsia" w:hAnsiTheme="minorEastAsia" w:cs="굴림"/>
                <w:color w:val="000000"/>
                <w:szCs w:val="20"/>
                <w:kern w:val="0"/>
              </w:rPr>
            </w:pPr>
            <w:r>
              <w:rPr>
                <w:rFonts w:asciiTheme="minorEastAsia" w:hAnsiTheme="minorEastAsia" w:cs="굴림"/>
                <w:b/>
                <w:bCs/>
                <w:color w:val="000000"/>
                <w:sz w:val="22"/>
                <w:kern w:val="0"/>
              </w:rPr>
              <w:t xml:space="preserve">7. </w:t>
            </w:r>
            <w:r>
              <w:rPr>
                <w:rFonts w:asciiTheme="minorEastAsia" w:hAnsiTheme="minorEastAsia" w:cs="굴림"/>
                <w:b/>
                <w:bCs/>
                <w:color w:val="000000"/>
                <w:sz w:val="22"/>
                <w:kern w:val="0"/>
              </w:rPr>
              <w:t>연구 방법</w:t>
            </w:r>
          </w:p>
        </w:tc>
      </w:tr>
      <w:tr>
        <w:trPr>
          <w:trHeight w:val="809" w:hRule="atLeast"/>
        </w:trPr>
        <w:tc>
          <w:tcPr>
            <w:tcW w:w="9230"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pPr>
              <w:spacing w:after="100"/>
              <w:rPr>
                <w:color w:val="000000"/>
              </w:rPr>
            </w:pPr>
            <w:r>
              <w:rPr>
                <w:lang w:eastAsia="ko-KR"/>
                <w:rFonts w:asciiTheme="minorEastAsia" w:hAnsiTheme="minorEastAsia" w:cs="굴림"/>
                <w:color w:val="000000"/>
                <w:szCs w:val="20"/>
                <w:kern w:val="0"/>
                <w:rtl w:val="off"/>
              </w:rPr>
              <w:t xml:space="preserve">1. </w:t>
            </w:r>
            <w:r>
              <w:rPr>
                <w:rFonts w:asciiTheme="minorEastAsia" w:hAnsiTheme="minorEastAsia" w:cs="굴림"/>
                <w:color w:val="000000"/>
                <w:szCs w:val="20"/>
                <w:kern w:val="0"/>
              </w:rPr>
              <w:t>채취한</w:t>
            </w:r>
            <w:r>
              <w:rPr>
                <w:rFonts w:hint="eastAsia"/>
                <w:color w:val="000000"/>
              </w:rPr>
              <w:t xml:space="preserve"> 인간 </w:t>
            </w:r>
            <w:r>
              <w:rPr>
                <w:rFonts w:hint="eastAsia"/>
                <w:color w:val="000000"/>
              </w:rPr>
              <w:t xml:space="preserve">말초 </w:t>
            </w:r>
            <w:r>
              <w:rPr>
                <w:rFonts w:hint="eastAsia"/>
                <w:color w:val="000000"/>
              </w:rPr>
              <w:t xml:space="preserve">혈액에서 </w:t>
            </w:r>
            <w:r>
              <w:rPr>
                <w:rFonts w:hint="eastAsia"/>
                <w:color w:val="000000"/>
              </w:rPr>
              <w:t xml:space="preserve">밀도구배 </w:t>
            </w:r>
            <w:r>
              <w:rPr>
                <w:lang w:eastAsia="ko-KR"/>
                <w:rFonts w:hint="eastAsia"/>
                <w:color w:val="000000"/>
                <w:rtl w:val="off"/>
              </w:rPr>
              <w:t>원리를 이용한 원심분리법을 이용해 말초 혈액 단핵세포 (PBMC)를 분리.</w:t>
            </w:r>
          </w:p>
          <w:p>
            <w:pPr>
              <w:spacing w:after="100"/>
              <w:rPr>
                <w:lang w:eastAsia="ko-KR"/>
                <w:rFonts w:hint="eastAsia"/>
                <w:color w:val="000000"/>
                <w:rtl w:val="off"/>
              </w:rPr>
            </w:pPr>
            <w:r>
              <w:rPr>
                <w:lang w:eastAsia="ko-KR"/>
                <w:color w:val="000000"/>
                <w:rtl w:val="off"/>
              </w:rPr>
              <w:t>2. 상기 과정에 의해 채취한 PBMC에서 B림프구, T림프구, 그리고 단핵구를 분리하기 위해 각각을 인식하는 항체가 결합된 비드를 처리함.</w:t>
            </w:r>
          </w:p>
          <w:p>
            <w:pPr>
              <w:spacing w:after="100"/>
              <w:rPr>
                <w:color w:val="000000"/>
              </w:rPr>
            </w:pPr>
            <w:r>
              <w:rPr>
                <w:lang w:eastAsia="ko-KR"/>
                <w:color w:val="000000"/>
                <w:rtl w:val="off"/>
              </w:rPr>
              <w:t>3. 분리한 단핵구로부터 수지상세포를 만들어냄.</w:t>
            </w:r>
          </w:p>
          <w:p>
            <w:pPr>
              <w:spacing w:after="100"/>
              <w:rPr>
                <w:color w:val="000000"/>
              </w:rPr>
            </w:pPr>
            <w:r>
              <w:rPr>
                <w:lang w:eastAsia="ko-KR"/>
                <w:color w:val="000000"/>
                <w:rtl w:val="off"/>
              </w:rPr>
              <w:t xml:space="preserve">4. 분리한 B림프구, T림프구, 그리고 단핵구를 세포외기질 요소인 matrigel과 콜라겐에 섞어 미세 유체 채널에 배양 후 특정 면역 반응을 유도할 수 있는 물질 주입. </w:t>
            </w:r>
          </w:p>
          <w:p>
            <w:pPr>
              <w:pStyle w:val="ListParagraph"/>
              <w:ind w:leftChars="0" w:left="0"/>
              <w:spacing w:after="100" w:line="259" w:lineRule="auto"/>
              <w:rPr>
                <w:color w:val="000000"/>
              </w:rPr>
            </w:pPr>
            <w:r>
              <w:rPr>
                <w:lang w:eastAsia="ko-KR"/>
                <w:color w:val="000000"/>
                <w:rtl w:val="off"/>
              </w:rPr>
              <w:t>이를 바탕으로 페이에르판에서 일어나는 점막 면역 반응을 생체 외에서 구현하여 장내 미생물군과 점막면역의 상호작용을 관찰하고 경구 백신을 스크리닝 할 수 있는 모델을 개발하는 것을 목표로 하는 연구를 함.</w:t>
            </w:r>
          </w:p>
        </w:tc>
      </w:tr>
      <w:tr>
        <w:trPr>
          <w:trHeight w:val="323" w:hRule="atLeast"/>
        </w:trPr>
        <w:tc>
          <w:tcPr>
            <w:tcW w:w="9230"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pPr>
              <w:ind w:left="40" w:right="40"/>
              <w:autoSpaceDE/>
              <w:autoSpaceDN/>
              <w:widowControl/>
              <w:wordWrap/>
              <w:snapToGrid w:val="0"/>
              <w:spacing w:after="80" w:line="312" w:lineRule="auto"/>
              <w:rPr>
                <w:rFonts w:asciiTheme="minorEastAsia" w:hAnsiTheme="minorEastAsia" w:cs="굴림"/>
                <w:color w:val="000000"/>
                <w:szCs w:val="20"/>
                <w:kern w:val="0"/>
              </w:rPr>
            </w:pPr>
          </w:p>
        </w:tc>
      </w:tr>
      <w:tr>
        <w:trPr>
          <w:trHeight w:val="476" w:hRule="atLeast"/>
        </w:trPr>
        <w:tc>
          <w:tcPr>
            <w:tcW w:w="9230"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pPr>
              <w:ind w:left="40" w:right="40"/>
              <w:autoSpaceDE/>
              <w:autoSpaceDN/>
              <w:widowControl/>
              <w:wordWrap/>
              <w:snapToGrid w:val="0"/>
              <w:spacing w:after="0" w:line="240" w:lineRule="auto"/>
              <w:rPr>
                <w:rFonts w:asciiTheme="minorEastAsia" w:hAnsiTheme="minorEastAsia" w:cs="굴림"/>
                <w:color w:val="000000"/>
                <w:szCs w:val="20"/>
                <w:kern w:val="0"/>
              </w:rPr>
            </w:pPr>
            <w:r>
              <w:rPr>
                <w:rFonts w:asciiTheme="minorEastAsia" w:hAnsiTheme="minorEastAsia" w:cs="굴림"/>
                <w:b/>
                <w:bCs/>
                <w:color w:val="000000"/>
                <w:sz w:val="22"/>
                <w:kern w:val="0"/>
              </w:rPr>
              <w:t xml:space="preserve">8. </w:t>
            </w:r>
            <w:r>
              <w:rPr>
                <w:rFonts w:asciiTheme="minorEastAsia" w:hAnsiTheme="minorEastAsia" w:cs="굴림"/>
                <w:b/>
                <w:bCs/>
                <w:color w:val="000000"/>
                <w:sz w:val="22"/>
                <w:kern w:val="0"/>
              </w:rPr>
              <w:t>평가항목</w:t>
            </w:r>
          </w:p>
        </w:tc>
      </w:tr>
      <w:tr>
        <w:trPr>
          <w:trHeight w:val="963" w:hRule="atLeast"/>
        </w:trPr>
        <w:tc>
          <w:tcPr>
            <w:tcW w:w="9230"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pPr>
              <w:spacing w:after="100"/>
              <w:rPr>
                <w:color w:val="000000"/>
              </w:rPr>
            </w:pPr>
            <w:r>
              <w:rPr>
                <w:rFonts w:hint="eastAsia"/>
                <w:b/>
                <w:color w:val="000000"/>
              </w:rPr>
              <w:t xml:space="preserve">1. </w:t>
            </w:r>
            <w:r>
              <w:rPr>
                <w:rFonts w:hint="eastAsia"/>
                <w:b/>
                <w:color w:val="000000"/>
              </w:rPr>
              <w:t>말초혈액</w:t>
            </w:r>
            <w:r>
              <w:rPr>
                <w:rFonts w:hint="eastAsia"/>
                <w:b/>
                <w:color w:val="000000"/>
              </w:rPr>
              <w:t>에서</w:t>
            </w:r>
            <w:r>
              <w:rPr>
                <w:b/>
                <w:color w:val="000000"/>
              </w:rPr>
              <w:t xml:space="preserve"> </w:t>
            </w:r>
            <w:r>
              <w:rPr>
                <w:lang w:eastAsia="ko-KR"/>
                <w:b/>
                <w:color w:val="000000"/>
                <w:rtl w:val="off"/>
              </w:rPr>
              <w:t>추출한 단핵구에서 분화된 수지상세포의 특성 파악</w:t>
            </w:r>
          </w:p>
          <w:p>
            <w:pPr>
              <w:pStyle w:val="ListParagraph"/>
              <w:ind w:leftChars="0" w:left="0"/>
              <w:spacing w:after="100" w:line="259" w:lineRule="auto"/>
              <w:rPr>
                <w:rFonts w:hint="eastAsia"/>
                <w:color w:val="000000"/>
              </w:rPr>
            </w:pPr>
            <w:r>
              <w:rPr>
                <w:lang w:eastAsia="ko-KR"/>
                <w:rFonts w:hint="eastAsia"/>
                <w:color w:val="000000"/>
                <w:rtl w:val="off"/>
              </w:rPr>
              <w:t>- 단핵구로 부터 만들어진 수지상세포의 특성 파악</w:t>
            </w:r>
          </w:p>
          <w:p>
            <w:pPr>
              <w:ind w:leftChars="0" w:left="0"/>
              <w:spacing w:after="100" w:line="259" w:lineRule="auto"/>
              <w:rPr>
                <w:color w:val="000000"/>
              </w:rPr>
            </w:pPr>
          </w:p>
          <w:p>
            <w:pPr>
              <w:pStyle w:val="ListParagraph"/>
              <w:ind w:leftChars="0" w:left="0"/>
              <w:spacing w:after="100" w:line="259" w:lineRule="auto"/>
              <w:rPr>
                <w:b/>
                <w:color w:val="000000"/>
              </w:rPr>
            </w:pPr>
            <w:r>
              <w:rPr>
                <w:b/>
                <w:color w:val="000000"/>
              </w:rPr>
              <w:t xml:space="preserve">2. </w:t>
            </w:r>
            <w:r>
              <w:rPr>
                <w:rFonts w:hint="eastAsia"/>
                <w:b/>
                <w:color w:val="000000"/>
              </w:rPr>
              <w:t xml:space="preserve">미세유체 플랫폼 기반 </w:t>
            </w:r>
            <w:r>
              <w:rPr>
                <w:lang w:eastAsia="ko-KR"/>
                <w:rFonts w:hint="eastAsia"/>
                <w:b/>
                <w:color w:val="000000"/>
                <w:rtl w:val="off"/>
              </w:rPr>
              <w:t>B림프구의 성숙도 파악</w:t>
            </w:r>
          </w:p>
          <w:p>
            <w:pPr>
              <w:pStyle w:val="ListParagraph"/>
              <w:ind w:leftChars="0" w:left="0"/>
              <w:spacing w:after="100" w:line="259" w:lineRule="auto"/>
            </w:pPr>
            <w:r>
              <w:rPr>
                <w:lang w:eastAsia="ko-KR"/>
                <w:rFonts w:hint="eastAsia"/>
                <w:rtl w:val="off"/>
              </w:rPr>
              <w:t xml:space="preserve">- </w:t>
            </w:r>
            <w:r>
              <w:rPr>
                <w:rFonts w:hint="eastAsia"/>
              </w:rPr>
              <w:t>미세</w:t>
            </w:r>
            <w:r>
              <w:rPr>
                <w:lang w:eastAsia="ko-KR"/>
                <w:rFonts w:hint="eastAsia"/>
                <w:rtl w:val="off"/>
              </w:rPr>
              <w:t>유체 채널 내에서 B림프구의 IgA 항체 분비 형질세포로의 성숙을 위한 배양 조건 최적화</w:t>
            </w:r>
          </w:p>
          <w:p>
            <w:pPr>
              <w:pStyle w:val="ListParagraph"/>
              <w:ind w:leftChars="0" w:left="0"/>
              <w:spacing w:after="100" w:line="259" w:lineRule="auto"/>
            </w:pPr>
            <w:r>
              <w:rPr>
                <w:lang w:eastAsia="ko-KR"/>
                <w:rFonts w:hint="eastAsia"/>
                <w:rtl w:val="off"/>
              </w:rPr>
              <w:t>- B림프구의 분화와 관련된 마커 (부착 단백질, 수용체 등) 발현량 확인</w:t>
            </w:r>
          </w:p>
          <w:p>
            <w:pPr>
              <w:pStyle w:val="ListParagraph"/>
              <w:ind w:leftChars="0" w:left="0"/>
              <w:spacing w:after="100" w:line="259" w:lineRule="auto"/>
            </w:pPr>
          </w:p>
          <w:p>
            <w:pPr>
              <w:pStyle w:val="ListParagraph"/>
              <w:ind w:leftChars="0" w:left="0"/>
              <w:spacing w:after="100" w:line="259" w:lineRule="auto"/>
              <w:rPr>
                <w:lang w:eastAsia="ko-KR"/>
                <w:rFonts w:asciiTheme="minorEastAsia" w:hAnsiTheme="minorEastAsia" w:cs="굴림"/>
                <w:b/>
                <w:color w:val="000000"/>
                <w:kern w:val="0"/>
                <w:rtl w:val="off"/>
              </w:rPr>
            </w:pPr>
            <w:r>
              <w:rPr>
                <w:b/>
              </w:rPr>
              <w:t>3</w:t>
            </w:r>
            <w:r>
              <w:rPr>
                <w:b/>
              </w:rPr>
              <w:t xml:space="preserve">. </w:t>
            </w:r>
            <w:r>
              <w:rPr>
                <w:lang w:eastAsia="ko-KR"/>
                <w:rFonts w:asciiTheme="minorEastAsia" w:hAnsiTheme="minorEastAsia" w:cs="굴림"/>
                <w:b/>
                <w:color w:val="000000"/>
                <w:kern w:val="0"/>
                <w:rtl w:val="off"/>
              </w:rPr>
              <w:t>병원균 또는 특정 항원의 주입으로 면역세포의 상호작용과 분자학 수준의 특성 확인</w:t>
            </w:r>
          </w:p>
          <w:p>
            <w:pPr>
              <w:pStyle w:val="ListParagraph"/>
              <w:ind w:leftChars="0" w:left="0"/>
              <w:spacing w:after="100" w:line="259" w:lineRule="auto"/>
              <w:rPr>
                <w:lang w:eastAsia="ko-KR"/>
                <w:rFonts w:asciiTheme="minorEastAsia" w:hAnsiTheme="minorEastAsia" w:cs="굴림"/>
                <w:b w:val="0"/>
                <w:color w:val="000000"/>
                <w:kern w:val="0"/>
                <w:rtl w:val="off"/>
              </w:rPr>
            </w:pPr>
            <w:r>
              <w:rPr>
                <w:lang w:eastAsia="ko-KR"/>
                <w:rFonts w:asciiTheme="minorEastAsia" w:hAnsiTheme="minorEastAsia" w:cs="굴림"/>
                <w:b w:val="0"/>
                <w:color w:val="000000"/>
                <w:kern w:val="0"/>
                <w:rtl w:val="off"/>
              </w:rPr>
              <w:t>- 세포의 생존성 확인</w:t>
            </w:r>
          </w:p>
          <w:p>
            <w:pPr>
              <w:pStyle w:val="ListParagraph"/>
              <w:ind w:leftChars="0" w:left="0"/>
              <w:spacing w:after="100" w:line="259" w:lineRule="auto"/>
              <w:rPr>
                <w:lang w:eastAsia="ko-KR"/>
                <w:rFonts w:asciiTheme="minorEastAsia" w:hAnsiTheme="minorEastAsia" w:cs="굴림"/>
                <w:b w:val="0"/>
                <w:color w:val="000000"/>
                <w:kern w:val="0"/>
                <w:rtl w:val="off"/>
              </w:rPr>
            </w:pPr>
            <w:r>
              <w:rPr>
                <w:lang w:eastAsia="ko-KR"/>
                <w:rFonts w:asciiTheme="minorEastAsia" w:hAnsiTheme="minorEastAsia" w:cs="굴림"/>
                <w:b w:val="0"/>
                <w:color w:val="000000"/>
                <w:kern w:val="0"/>
                <w:rtl w:val="off"/>
              </w:rPr>
              <w:t>- 항원 특이적 IgA 항체 형성 확인</w:t>
            </w:r>
          </w:p>
          <w:p>
            <w:pPr>
              <w:pStyle w:val="ListParagraph"/>
              <w:ind w:leftChars="0" w:left="0"/>
              <w:spacing w:after="100" w:line="259" w:lineRule="auto"/>
            </w:pPr>
            <w:r>
              <w:rPr>
                <w:lang w:eastAsia="ko-KR"/>
                <w:rFonts w:asciiTheme="minorEastAsia" w:hAnsiTheme="minorEastAsia" w:cs="굴림"/>
                <w:b w:val="0"/>
                <w:color w:val="000000"/>
                <w:kern w:val="0"/>
                <w:rtl w:val="off"/>
              </w:rPr>
              <w:t>- 사이토카인 발현량 확인</w:t>
            </w:r>
          </w:p>
        </w:tc>
      </w:tr>
      <w:tr>
        <w:trPr>
          <w:trHeight w:val="276" w:hRule="atLeast"/>
        </w:trPr>
        <w:tc>
          <w:tcPr>
            <w:tcW w:w="9230" w:type="dxa"/>
            <w:tcBorders>
              <w:top w:val="single" w:sz="12" w:space="0" w:color="939500"/>
              <w:left w:val="nil"/>
              <w:bottom w:val="single" w:sz="12" w:space="0" w:color="939500"/>
              <w:right w:val="nil"/>
            </w:tcBorders>
            <w:shd w:val="clear" w:color="auto" w:fill="FFFFFF"/>
            <w:tcMar>
              <w:top w:w="28" w:type="dxa"/>
              <w:left w:w="28" w:type="dxa"/>
              <w:bottom w:w="28" w:type="dxa"/>
              <w:right w:w="28" w:type="dxa"/>
            </w:tcMar>
            <w:vAlign w:val="center"/>
            <w:hideMark/>
          </w:tcPr>
          <w:p>
            <w:pPr>
              <w:ind w:left="40" w:right="40"/>
              <w:autoSpaceDE/>
              <w:autoSpaceDN/>
              <w:widowControl/>
              <w:wordWrap/>
              <w:snapToGrid w:val="0"/>
              <w:spacing w:after="80" w:line="312" w:lineRule="auto"/>
              <w:rPr>
                <w:rFonts w:asciiTheme="minorEastAsia" w:hAnsiTheme="minorEastAsia" w:cs="굴림"/>
                <w:color w:val="000000"/>
                <w:szCs w:val="20"/>
                <w:kern w:val="0"/>
              </w:rPr>
            </w:pPr>
          </w:p>
        </w:tc>
      </w:tr>
      <w:tr>
        <w:trPr>
          <w:trHeight w:val="559" w:hRule="atLeast"/>
        </w:trPr>
        <w:tc>
          <w:tcPr>
            <w:tcW w:w="9230" w:type="dxa"/>
            <w:tcBorders>
              <w:top w:val="single" w:sz="12" w:space="0" w:color="939500"/>
              <w:left w:val="nil"/>
              <w:bottom w:val="single" w:sz="2" w:space="0" w:color="D8E8C6"/>
              <w:right w:val="nil"/>
            </w:tcBorders>
            <w:shd w:val="clear" w:color="auto" w:fill="FAFABF"/>
            <w:tcMar>
              <w:top w:w="28" w:type="dxa"/>
              <w:left w:w="28" w:type="dxa"/>
              <w:bottom w:w="28" w:type="dxa"/>
              <w:right w:w="28" w:type="dxa"/>
            </w:tcMar>
            <w:vAlign w:val="center"/>
            <w:hideMark/>
          </w:tcPr>
          <w:p>
            <w:pPr>
              <w:ind w:left="40" w:right="40"/>
              <w:autoSpaceDE/>
              <w:autoSpaceDN/>
              <w:widowControl/>
              <w:wordWrap/>
              <w:snapToGrid w:val="0"/>
              <w:spacing w:after="0" w:line="240" w:lineRule="auto"/>
              <w:rPr>
                <w:rFonts w:asciiTheme="minorEastAsia" w:hAnsiTheme="minorEastAsia" w:cs="굴림"/>
                <w:color w:val="000000"/>
                <w:szCs w:val="20"/>
                <w:kern w:val="0"/>
              </w:rPr>
            </w:pPr>
            <w:r>
              <w:rPr>
                <w:rFonts w:asciiTheme="minorEastAsia" w:hAnsiTheme="minorEastAsia" w:cs="굴림"/>
                <w:b/>
                <w:bCs/>
                <w:color w:val="000000"/>
                <w:sz w:val="22"/>
                <w:kern w:val="0"/>
              </w:rPr>
              <w:t xml:space="preserve">8. </w:t>
            </w:r>
            <w:r>
              <w:rPr>
                <w:rFonts w:asciiTheme="minorEastAsia" w:hAnsiTheme="minorEastAsia" w:cs="굴림"/>
                <w:b/>
                <w:bCs/>
                <w:color w:val="000000"/>
                <w:sz w:val="22"/>
                <w:kern w:val="0"/>
              </w:rPr>
              <w:t xml:space="preserve">인체유래물의 보관과 폐기 </w:t>
            </w:r>
          </w:p>
        </w:tc>
      </w:tr>
      <w:tr>
        <w:trPr>
          <w:trHeight w:val="2182" w:hRule="exact"/>
        </w:trPr>
        <w:tc>
          <w:tcPr>
            <w:tcW w:w="9230"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hideMark/>
          </w:tcPr>
          <w:p>
            <w:pPr>
              <w:ind w:right="40"/>
              <w:autoSpaceDE/>
              <w:autoSpaceDN/>
              <w:widowControl/>
              <w:wordWrap/>
              <w:snapToGrid w:val="0"/>
              <w:spacing w:after="80"/>
              <w:rPr>
                <w:rFonts w:ascii="Times New Roman" w:hAnsi="Times New Roman" w:cs="Times New Roman"/>
                <w:color w:val="000000"/>
                <w:kern w:val="0"/>
              </w:rPr>
            </w:pPr>
            <w:r>
              <w:rPr>
                <w:rFonts w:asciiTheme="minorEastAsia" w:hAnsiTheme="minorEastAsia" w:cs="굴림"/>
                <w:color w:val="000000"/>
                <w:kern w:val="0"/>
              </w:rPr>
              <w:t xml:space="preserve">채취한 </w:t>
            </w:r>
            <w:r>
              <w:rPr>
                <w:rFonts w:asciiTheme="minorEastAsia" w:hAnsiTheme="minorEastAsia" w:cs="굴림"/>
                <w:color w:val="000000"/>
                <w:kern w:val="0"/>
              </w:rPr>
              <w:t xml:space="preserve">혈액은 </w:t>
            </w:r>
            <w:r>
              <w:rPr>
                <w:rFonts w:asciiTheme="minorEastAsia" w:hAnsiTheme="minorEastAsia" w:cs="굴림"/>
                <w:color w:val="000000"/>
                <w:kern w:val="0"/>
              </w:rPr>
              <w:t>헤파린 튜브</w:t>
            </w:r>
            <w:r>
              <w:rPr>
                <w:rFonts w:asciiTheme="minorEastAsia" w:hAnsiTheme="minorEastAsia" w:cs="굴림"/>
                <w:color w:val="000000"/>
                <w:kern w:val="0"/>
              </w:rPr>
              <w:t xml:space="preserve"> (</w:t>
            </w:r>
            <w:r>
              <w:rPr>
                <w:rFonts w:asciiTheme="minorEastAsia" w:hAnsiTheme="minorEastAsia" w:cs="굴림"/>
                <w:color w:val="000000"/>
                <w:kern w:val="0"/>
              </w:rPr>
              <w:t>heparin tub</w:t>
            </w:r>
            <w:r>
              <w:rPr>
                <w:rFonts w:asciiTheme="minorEastAsia" w:hAnsiTheme="minorEastAsia" w:cs="굴림"/>
                <w:color w:val="000000"/>
                <w:kern w:val="0"/>
              </w:rPr>
              <w:t xml:space="preserve">) </w:t>
            </w:r>
            <w:r>
              <w:rPr>
                <w:rFonts w:asciiTheme="minorEastAsia" w:hAnsiTheme="minorEastAsia" w:cs="굴림"/>
                <w:color w:val="000000"/>
                <w:kern w:val="0"/>
              </w:rPr>
              <w:t xml:space="preserve">에 </w:t>
            </w:r>
            <w:r>
              <w:rPr>
                <w:rFonts w:asciiTheme="minorEastAsia" w:hAnsiTheme="minorEastAsia" w:cs="굴림"/>
                <w:color w:val="000000"/>
                <w:kern w:val="0"/>
              </w:rPr>
              <w:t>담아</w:t>
            </w:r>
            <w:r>
              <w:rPr>
                <w:rFonts w:asciiTheme="minorEastAsia" w:hAnsiTheme="minorEastAsia" w:cs="굴림"/>
                <w:color w:val="000000"/>
                <w:kern w:val="0"/>
              </w:rPr>
              <w:t xml:space="preserve"> </w:t>
            </w:r>
            <w:r>
              <w:rPr>
                <w:rFonts w:asciiTheme="minorEastAsia" w:hAnsiTheme="minorEastAsia" w:cs="굴림"/>
                <w:color w:val="000000"/>
                <w:kern w:val="0"/>
              </w:rPr>
              <w:t xml:space="preserve">즉시 실험에 이용할 예정이나,불가피한 경우 </w:t>
            </w:r>
            <w:r>
              <w:rPr>
                <w:rFonts w:asciiTheme="minorEastAsia" w:hAnsiTheme="minorEastAsia" w:cs="굴림"/>
                <w:color w:val="000000"/>
                <w:kern w:val="0"/>
              </w:rPr>
              <w:t xml:space="preserve">4 </w:t>
            </w:r>
            <w:r>
              <w:rPr>
                <w:rFonts w:ascii="Times New Roman" w:hAnsi="Times New Roman" w:cs="Times New Roman"/>
                <w:color w:val="000000"/>
                <w:kern w:val="0"/>
              </w:rPr>
              <w:t xml:space="preserve">°C </w:t>
            </w:r>
            <w:r>
              <w:rPr>
                <w:rFonts w:ascii="Times New Roman" w:hAnsi="Times New Roman" w:cs="Times New Roman" w:hint="eastAsia"/>
                <w:color w:val="000000"/>
                <w:kern w:val="0"/>
              </w:rPr>
              <w:t>연구시약전용냉장시설에서</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단시간</w:t>
            </w:r>
            <w:r>
              <w:rPr>
                <w:rFonts w:ascii="Times New Roman" w:hAnsi="Times New Roman" w:cs="Times New Roman"/>
                <w:color w:val="000000"/>
                <w:kern w:val="0"/>
              </w:rPr>
              <w:t>(6</w:t>
            </w:r>
            <w:r>
              <w:rPr>
                <w:rFonts w:ascii="Times New Roman" w:hAnsi="Times New Roman" w:cs="Times New Roman" w:hint="eastAsia"/>
                <w:color w:val="000000"/>
                <w:kern w:val="0"/>
              </w:rPr>
              <w:t>시간이내</w:t>
            </w:r>
            <w:r>
              <w:rPr>
                <w:rFonts w:ascii="Times New Roman" w:hAnsi="Times New Roman" w:cs="Times New Roman" w:hint="eastAsia"/>
                <w:color w:val="000000"/>
                <w:kern w:val="0"/>
              </w:rPr>
              <w:t>)</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보관할</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예정이며</w:t>
            </w:r>
            <w:r>
              <w:rPr>
                <w:rFonts w:ascii="Times New Roman" w:hAnsi="Times New Roman" w:cs="Times New Roman" w:hint="eastAsia"/>
                <w:color w:val="000000"/>
                <w:kern w:val="0"/>
              </w:rPr>
              <w:t>,</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남은</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혈액을</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폐기시</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의료폐기물</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폐기법</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및</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절차에</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따라</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안전하게</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폐기할</w:t>
            </w:r>
            <w:r>
              <w:rPr>
                <w:rFonts w:ascii="Times New Roman" w:hAnsi="Times New Roman" w:cs="Times New Roman" w:hint="eastAsia"/>
                <w:color w:val="000000"/>
                <w:kern w:val="0"/>
              </w:rPr>
              <w:t xml:space="preserve"> </w:t>
            </w:r>
            <w:r>
              <w:rPr>
                <w:rFonts w:ascii="Times New Roman" w:hAnsi="Times New Roman" w:cs="Times New Roman" w:hint="eastAsia"/>
                <w:color w:val="000000"/>
                <w:kern w:val="0"/>
              </w:rPr>
              <w:t>예정</w:t>
            </w:r>
            <w:r>
              <w:rPr>
                <w:rFonts w:ascii="Times New Roman" w:hAnsi="Times New Roman" w:cs="Times New Roman" w:hint="eastAsia"/>
                <w:color w:val="000000"/>
                <w:kern w:val="0"/>
              </w:rPr>
              <w:t>임</w:t>
            </w:r>
            <w:r>
              <w:rPr>
                <w:rFonts w:ascii="Times New Roman" w:hAnsi="Times New Roman" w:cs="Times New Roman" w:hint="eastAsia"/>
                <w:color w:val="000000"/>
                <w:kern w:val="0"/>
              </w:rPr>
              <w:t>.</w:t>
            </w:r>
          </w:p>
        </w:tc>
      </w:tr>
      <w:tr>
        <w:trPr>
          <w:trHeight w:val="331" w:hRule="atLeast"/>
        </w:trPr>
        <w:tc>
          <w:tcPr>
            <w:tcW w:w="9230"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tcPr>
          <w:p>
            <w:pPr>
              <w:ind w:left="40" w:right="40"/>
              <w:autoSpaceDE/>
              <w:autoSpaceDN/>
              <w:widowControl/>
              <w:wordWrap/>
              <w:snapToGrid w:val="0"/>
              <w:spacing w:after="0" w:line="312" w:lineRule="auto"/>
              <w:rPr>
                <w:rFonts w:asciiTheme="minorEastAsia" w:hAnsiTheme="minorEastAsia" w:cs="굴림"/>
                <w:color w:val="000000"/>
                <w:sz w:val="10"/>
                <w:szCs w:val="10"/>
                <w:kern w:val="0"/>
              </w:rPr>
            </w:pPr>
          </w:p>
        </w:tc>
      </w:tr>
      <w:tr>
        <w:trPr>
          <w:trHeight w:val="331" w:hRule="atLeast"/>
        </w:trPr>
        <w:tc>
          <w:tcPr>
            <w:tcW w:w="9230" w:type="dxa"/>
            <w:tcBorders>
              <w:top w:val="single" w:sz="12" w:space="0" w:color="939500"/>
              <w:left w:val="nil"/>
              <w:bottom w:val="single" w:sz="12" w:space="0" w:color="939500"/>
              <w:right w:val="nil"/>
            </w:tcBorders>
            <w:shd w:val="clear" w:color="auto" w:fill="FFFFCC"/>
            <w:tcMar>
              <w:top w:w="28" w:type="dxa"/>
              <w:left w:w="28" w:type="dxa"/>
              <w:bottom w:w="28" w:type="dxa"/>
              <w:right w:w="28" w:type="dxa"/>
            </w:tcMar>
            <w:vAlign w:val="center"/>
          </w:tcPr>
          <w:p>
            <w:pPr>
              <w:ind w:left="40" w:right="40"/>
              <w:autoSpaceDE/>
              <w:autoSpaceDN/>
              <w:widowControl/>
              <w:wordWrap/>
              <w:snapToGrid w:val="0"/>
              <w:spacing w:after="0" w:line="312" w:lineRule="auto"/>
              <w:rPr>
                <w:rFonts w:asciiTheme="minorEastAsia" w:hAnsiTheme="minorEastAsia" w:cs="굴림"/>
                <w:b/>
                <w:color w:val="000000"/>
                <w:sz w:val="22"/>
                <w:kern w:val="0"/>
              </w:rPr>
            </w:pPr>
            <w:r>
              <w:rPr>
                <w:rFonts w:asciiTheme="minorEastAsia" w:hAnsiTheme="minorEastAsia" w:cs="굴림"/>
                <w:b/>
                <w:color w:val="000000"/>
                <w:sz w:val="22"/>
                <w:kern w:val="0"/>
              </w:rPr>
              <w:t xml:space="preserve">9. </w:t>
            </w:r>
            <w:r>
              <w:rPr>
                <w:rFonts w:asciiTheme="minorEastAsia" w:hAnsiTheme="minorEastAsia" w:cs="굴림"/>
                <w:b/>
                <w:color w:val="000000"/>
                <w:sz w:val="22"/>
                <w:kern w:val="0"/>
              </w:rPr>
              <w:t>참고문헌</w:t>
            </w:r>
          </w:p>
        </w:tc>
      </w:tr>
      <w:tr>
        <w:trPr>
          <w:trHeight w:val="331" w:hRule="atLeast"/>
        </w:trPr>
        <w:tc>
          <w:tcPr>
            <w:tcW w:w="9230" w:type="dxa"/>
            <w:tcBorders>
              <w:top w:val="single" w:sz="2" w:space="0" w:color="D8E8C6"/>
              <w:left w:val="nil"/>
              <w:bottom w:val="single" w:sz="12" w:space="0" w:color="939500"/>
              <w:right w:val="nil"/>
            </w:tcBorders>
            <w:shd w:val="clear" w:color="auto" w:fill="FFFFFF"/>
            <w:tcMar>
              <w:top w:w="28" w:type="dxa"/>
              <w:left w:w="28" w:type="dxa"/>
              <w:bottom w:w="28" w:type="dxa"/>
              <w:right w:w="28" w:type="dxa"/>
            </w:tcMar>
            <w:vAlign w:val="center"/>
          </w:tcPr>
          <w:p>
            <w:pPr>
              <w:ind w:left="40" w:right="40"/>
              <w:autoSpaceDE/>
              <w:autoSpaceDN/>
              <w:widowControl/>
              <w:wordWrap/>
              <w:snapToGrid w:val="0"/>
              <w:spacing w:after="0" w:line="312" w:lineRule="auto"/>
              <w:rPr>
                <w:rFonts w:asciiTheme="minorEastAsia" w:hAnsiTheme="minorEastAsia" w:cs="굴림"/>
                <w:color w:val="000000"/>
                <w:sz w:val="22"/>
                <w:kern w:val="0"/>
              </w:rPr>
            </w:pPr>
            <w:r>
              <w:rPr>
                <w:lang w:eastAsia="ko-KR"/>
                <w:rFonts w:asciiTheme="minorEastAsia" w:hAnsiTheme="minorEastAsia" w:cs="굴림"/>
                <w:color w:val="000000"/>
                <w:sz w:val="22"/>
                <w:kern w:val="0"/>
                <w:rtl w:val="off"/>
              </w:rPr>
              <w:t xml:space="preserve">- </w:t>
            </w:r>
            <w:r>
              <w:rPr>
                <w:lang w:eastAsia="ko-KR"/>
                <w:rFonts w:asciiTheme="minorEastAsia" w:hAnsiTheme="minorEastAsia" w:cs="굴림"/>
                <w:color w:val="000000"/>
                <w:sz w:val="20"/>
                <w:szCs w:val="20"/>
                <w:kern w:val="0"/>
                <w:rtl w:val="off"/>
              </w:rPr>
              <w:t>Liu, Hao-Yu, Antoine Giraud, Cedric Seignez, David Ahl, Feilong Guo, John Sedin, Tomas Walden, et al. “Distinct B Cell Subsets in Peyer’s Patches Convey Probiotic Effects by Limosilactobacillus Reuteri.” Microbiome 9, no. 1 (2021).</w:t>
            </w:r>
          </w:p>
          <w:p>
            <w:pPr>
              <w:ind w:left="40" w:right="40"/>
              <w:autoSpaceDE/>
              <w:autoSpaceDN/>
              <w:widowControl/>
              <w:wordWrap/>
              <w:snapToGrid w:val="0"/>
              <w:spacing w:after="0" w:line="312" w:lineRule="auto"/>
              <w:rPr>
                <w:lang w:eastAsia="ko-KR"/>
                <w:rFonts w:asciiTheme="minorEastAsia" w:hAnsiTheme="minorEastAsia" w:cs="굴림"/>
                <w:color w:val="000000"/>
                <w:sz w:val="20"/>
                <w:szCs w:val="20"/>
                <w:kern w:val="0"/>
                <w:rtl w:val="off"/>
              </w:rPr>
            </w:pPr>
            <w:r>
              <w:rPr>
                <w:lang w:eastAsia="ko-KR"/>
                <w:rFonts w:asciiTheme="minorEastAsia" w:hAnsiTheme="minorEastAsia" w:cs="굴림"/>
                <w:color w:val="000000"/>
                <w:sz w:val="20"/>
                <w:szCs w:val="20"/>
                <w:kern w:val="0"/>
                <w:rtl w:val="off"/>
              </w:rPr>
              <w:t>- Fransen, Floris, Elena Zagato, Elisa Mazzini, Bruno Fosso, Caterina Manzari, Sahar El&amp;nbsp;Aidy, Andrea Chiavelli, et al. “BALB/C and C57BL/6 Mice Differ in Polyreactive Iga Abundance, Which Impacts the Generation of Antigen-Specific IGA and Microbiota Diversity.” Immunity 43, no. 3 (2015): 527–40.</w:t>
            </w:r>
          </w:p>
          <w:p>
            <w:pPr>
              <w:ind w:left="40" w:right="40"/>
              <w:autoSpaceDE/>
              <w:autoSpaceDN/>
              <w:widowControl/>
              <w:wordWrap/>
              <w:snapToGrid w:val="0"/>
              <w:spacing w:after="0" w:line="312" w:lineRule="auto"/>
              <w:rPr>
                <w:rFonts w:asciiTheme="minorEastAsia" w:hAnsiTheme="minorEastAsia" w:cs="굴림"/>
                <w:color w:val="000000"/>
                <w:sz w:val="20"/>
                <w:szCs w:val="20"/>
                <w:kern w:val="0"/>
              </w:rPr>
            </w:pPr>
            <w:r>
              <w:rPr>
                <w:lang w:eastAsia="ko-KR"/>
                <w:rFonts w:asciiTheme="minorEastAsia" w:hAnsiTheme="minorEastAsia" w:cs="굴림"/>
                <w:color w:val="000000"/>
                <w:sz w:val="20"/>
                <w:szCs w:val="20"/>
                <w:kern w:val="0"/>
                <w:rtl w:val="off"/>
              </w:rPr>
              <w:t>- Lycke, N Y, and M Bemark. “The Regulation of Gut Mucosal IGA B-Cell Responses: Recent Developments.” Mucosal Immunology 10, no. 6 (2017): 1361–74.</w:t>
            </w:r>
          </w:p>
          <w:p>
            <w:pPr>
              <w:ind w:left="40" w:right="40"/>
              <w:autoSpaceDE/>
              <w:autoSpaceDN/>
              <w:widowControl/>
              <w:wordWrap/>
              <w:snapToGrid w:val="0"/>
              <w:spacing w:after="0" w:line="312" w:lineRule="auto"/>
              <w:rPr>
                <w:lang w:eastAsia="ko-KR"/>
                <w:rFonts w:asciiTheme="minorEastAsia" w:hAnsiTheme="minorEastAsia" w:cs="굴림"/>
                <w:color w:val="000000"/>
                <w:sz w:val="20"/>
                <w:szCs w:val="20"/>
                <w:kern w:val="0"/>
                <w:rtl w:val="off"/>
              </w:rPr>
            </w:pPr>
            <w:r>
              <w:rPr>
                <w:lang w:eastAsia="ko-KR"/>
                <w:rFonts w:asciiTheme="minorEastAsia" w:hAnsiTheme="minorEastAsia" w:cs="굴림"/>
                <w:color w:val="000000"/>
                <w:sz w:val="20"/>
                <w:szCs w:val="20"/>
                <w:kern w:val="0"/>
                <w:rtl w:val="off"/>
              </w:rPr>
              <w:t>- Biram, Adi, Anneli Strömberg, Eitan Winter, Liat Stoler-Barak, Ran Salomon, Yoseph Addadi, Rony Dahan, Gur Yaari, Mats Bemark, and Ziv Shulman. “BCR Affinity Differentially Regulates Colonization of the Subepithelial Dome and Infiltration into Germinal Centers within Peyer’s Patches.” Nature Immunology 20, no. 4 (2019): 482–92.</w:t>
            </w:r>
          </w:p>
          <w:p>
            <w:pPr>
              <w:ind w:left="40" w:right="40"/>
              <w:autoSpaceDE/>
              <w:autoSpaceDN/>
              <w:widowControl/>
              <w:wordWrap/>
              <w:snapToGrid w:val="0"/>
              <w:spacing w:after="0" w:line="312" w:lineRule="auto"/>
              <w:rPr>
                <w:lang w:eastAsia="ko-KR"/>
                <w:rFonts w:asciiTheme="minorEastAsia" w:hAnsiTheme="minorEastAsia" w:cs="굴림"/>
                <w:color w:val="000000"/>
                <w:sz w:val="20"/>
                <w:szCs w:val="20"/>
                <w:kern w:val="0"/>
                <w:rtl w:val="off"/>
              </w:rPr>
            </w:pPr>
            <w:r>
              <w:rPr>
                <w:lang w:eastAsia="ko-KR"/>
                <w:rFonts w:asciiTheme="minorEastAsia" w:hAnsiTheme="minorEastAsia" w:cs="굴림"/>
                <w:color w:val="000000"/>
                <w:sz w:val="20"/>
                <w:szCs w:val="20"/>
                <w:kern w:val="0"/>
                <w:rtl w:val="off"/>
              </w:rPr>
              <w:t>- Komban, Rathan Joy, Anneli Strömberg, Adi Biram, Jakob Cervin, Cristina Lebrero-Fernández, Neil Mabbott, Ulf Yrlid, Ziv Shulman, Mats Bemark, and Nils Lycke. “Activated Peyer′s Patch B Cells Sample Antigen Directly from M Cells in the Subepithelial Dome.” Nature Communications 10, no. 1 (2019).</w:t>
            </w:r>
          </w:p>
          <w:p>
            <w:pPr>
              <w:ind w:left="40" w:right="40"/>
              <w:autoSpaceDE/>
              <w:autoSpaceDN/>
              <w:widowControl/>
              <w:wordWrap/>
              <w:snapToGrid w:val="0"/>
              <w:spacing w:after="0" w:line="312" w:lineRule="auto"/>
              <w:rPr>
                <w:lang w:eastAsia="ko-KR"/>
                <w:rFonts w:asciiTheme="minorEastAsia" w:hAnsiTheme="minorEastAsia" w:cs="굴림"/>
                <w:color w:val="000000"/>
                <w:sz w:val="20"/>
                <w:szCs w:val="20"/>
                <w:kern w:val="0"/>
                <w:rtl w:val="off"/>
              </w:rPr>
            </w:pPr>
            <w:r>
              <w:rPr>
                <w:lang w:eastAsia="ko-KR"/>
                <w:rFonts w:asciiTheme="minorEastAsia" w:hAnsiTheme="minorEastAsia" w:cs="굴림"/>
                <w:color w:val="000000"/>
                <w:sz w:val="20"/>
                <w:szCs w:val="20"/>
                <w:kern w:val="0"/>
                <w:rtl w:val="off"/>
              </w:rPr>
              <w:t>- Reboldi, Andrea, Tal I. Arnon, Lauren B. Rodda, Amha Atakilit, Dean Sheppard, and Jason G. Cyster. “Iga Production Requires B Cell Interaction with Subepithelial Dendritic Cells in Peyer’s Patches.” Science 352, no. 6287 (2016).</w:t>
            </w:r>
          </w:p>
          <w:p>
            <w:pPr>
              <w:ind w:left="40" w:right="40"/>
              <w:autoSpaceDE/>
              <w:autoSpaceDN/>
              <w:widowControl/>
              <w:wordWrap/>
              <w:snapToGrid w:val="0"/>
              <w:spacing w:after="0" w:line="312" w:lineRule="auto"/>
              <w:rPr>
                <w:lang w:eastAsia="ko-KR"/>
                <w:rFonts w:asciiTheme="minorEastAsia" w:hAnsiTheme="minorEastAsia" w:cs="굴림"/>
                <w:color w:val="000000"/>
                <w:sz w:val="20"/>
                <w:szCs w:val="20"/>
                <w:kern w:val="0"/>
                <w:rtl w:val="off"/>
              </w:rPr>
            </w:pPr>
            <w:r>
              <w:rPr>
                <w:lang w:eastAsia="ko-KR"/>
                <w:rFonts w:asciiTheme="minorEastAsia" w:hAnsiTheme="minorEastAsia" w:cs="굴림"/>
                <w:color w:val="000000"/>
                <w:sz w:val="20"/>
                <w:szCs w:val="20"/>
                <w:kern w:val="0"/>
                <w:rtl w:val="off"/>
              </w:rPr>
              <w:t>- Borsutzky, Stefan, Balthazar B. Cazac, Jürgen Roes, and Carlos A. Guzmán. “TGF-β Receptor Signaling Is Critical for Mucosal IGA Responses.” The Journal of Immunology 173, no. 5 (2004): 3305–9.</w:t>
            </w:r>
          </w:p>
          <w:p>
            <w:pPr>
              <w:ind w:left="40" w:right="40"/>
              <w:autoSpaceDE/>
              <w:autoSpaceDN/>
              <w:widowControl/>
              <w:wordWrap/>
              <w:snapToGrid w:val="0"/>
              <w:spacing w:after="0" w:line="312" w:lineRule="auto"/>
              <w:rPr>
                <w:rFonts w:asciiTheme="minorEastAsia" w:hAnsiTheme="minorEastAsia" w:cs="굴림"/>
                <w:color w:val="000000"/>
                <w:sz w:val="22"/>
                <w:kern w:val="0"/>
              </w:rPr>
            </w:pPr>
            <w:r>
              <w:rPr>
                <w:lang w:eastAsia="ko-KR"/>
                <w:rFonts w:asciiTheme="minorEastAsia" w:hAnsiTheme="minorEastAsia" w:cs="굴림"/>
                <w:color w:val="000000"/>
                <w:sz w:val="20"/>
                <w:szCs w:val="20"/>
                <w:kern w:val="0"/>
                <w:rtl w:val="off"/>
              </w:rPr>
              <w:t>- Goyal, Girija, Pranav Prabhala, Gautam Mahajan, Bruce Bausk, Tal Gilboa, Liangxia Xie, Yunhao Zhai, et al. “Ectopic Lymphoid Follicle Formation and Human Seasonal Influenza Vaccination Responses Recapitulated in an Organ‐on‐a‐Chip.” Advanced Science, 2022, 2103241.</w:t>
            </w:r>
          </w:p>
          <w:p>
            <w:pPr>
              <w:ind w:left="40" w:right="40"/>
              <w:autoSpaceDE/>
              <w:autoSpaceDN/>
              <w:widowControl/>
              <w:wordWrap/>
              <w:snapToGrid w:val="0"/>
              <w:spacing w:after="0" w:line="312" w:lineRule="auto"/>
              <w:rPr>
                <w:rFonts w:asciiTheme="minorEastAsia" w:hAnsiTheme="minorEastAsia" w:cs="굴림"/>
                <w:color w:val="000000"/>
                <w:sz w:val="22"/>
                <w:kern w:val="0"/>
              </w:rPr>
            </w:pPr>
            <w:r>
              <w:rPr>
                <w:lang w:eastAsia="ko-KR"/>
                <w:rFonts w:asciiTheme="minorEastAsia" w:hAnsiTheme="minorEastAsia" w:cs="굴림"/>
                <w:color w:val="000000"/>
                <w:sz w:val="20"/>
                <w:szCs w:val="20"/>
                <w:kern w:val="0"/>
                <w:rtl w:val="off"/>
              </w:rPr>
              <w:t>- Nair, Smita, Gerald E. Archer, and Thomas F. Tedder. “Isolation and Generation of Human Dendritic Cells.” Current Protocols in Immunology 99, no. 1 (2012).</w:t>
            </w:r>
          </w:p>
        </w:tc>
      </w:tr>
    </w:tbl>
    <w:p>
      <w:pPr>
        <w:jc w:val="center"/>
      </w:pPr>
    </w:p>
    <w:sectPr>
      <w:pgSz w:w="11906" w:h="16838"/>
      <w:pgMar w:top="1701" w:right="1440" w:bottom="1440" w:left="1440" w:header="851" w:footer="0" w:gutter="0"/>
      <w:cols/>
      <w:docGrid w:linePitch="360"/>
      <w:headerReference w:type="default" r:id="rId4"/>
      <w:footerReference w:type="default"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HY헤드라인M">
    <w:panose1 w:val="02030600000101010101"/>
    <w:family w:val="roman"/>
    <w:charset w:val="81"/>
    <w:notTrueType w:val="false"/>
    <w:sig w:usb0="900002A7" w:usb1="01D77CFB" w:usb2="00000010" w:usb3="00000001" w:csb0="00080001" w:csb1="00000001"/>
  </w:font>
  <w:font w:name="굴림">
    <w:panose1 w:val="020B0600000101010101"/>
    <w:family w:val="modern"/>
    <w:charset w:val="81"/>
    <w:notTrueType w:val="false"/>
    <w:sig w:usb0="B00002AF" w:usb1="69D77CFB" w:usb2="00000030" w:usb3="00000001" w:csb0="4008009F" w:csb1="DFD70000"/>
  </w:font>
  <w:font w:name="Times New Roman">
    <w:panose1 w:val="02020603050405020304"/>
    <w:family w:val="roman"/>
    <w:charset w:val="00"/>
    <w:notTrueType w:val="false"/>
    <w:sig w:usb0="E0002EFF" w:usb1="C000785B" w:usb2="00000009" w:usb3="00000001" w:csb0="400001FF" w:csb1="FFFF0000"/>
  </w:font>
  <w:font w:name="함초롬바탕">
    <w:panose1 w:val="02030604000101010101"/>
    <w:family w:val="roman"/>
    <w:charset w:val="81"/>
    <w:notTrueType w:val="false"/>
    <w:sig w:usb0="F70006FF" w:usb1="19DFFFFF" w:usb2="001BFDD7" w:usb3="00000001" w:csb0="001F01FF" w:csb1="00000001"/>
  </w:font>
  <w:font w:name="맑은 고딕">
    <w:panose1 w:val="020B0503020000020004"/>
    <w:charset w:val="00"/>
    <w:notTrueType w:val="false"/>
    <w:sig w:usb0="9000002F" w:usb1="29D77CFB" w:usb2="00000012" w:usb3="00000001" w:csb0="00080001"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sdt>
    <w:sdtPr>
      <w:id w:val="-1"/>
      <w:docPartObj>
        <w:docPartGallery w:val="Page Numbers (Bottom of Page)"/>
        <w:docPartUnique/>
      </w:docPartObj>
    </w:sdtPr>
    <w:sdtContent>
      <w:p>
        <w:pPr>
          <w:pStyle w:val="Footer"/>
          <w:jc w:val="right"/>
        </w:pPr>
        <w:r/>
        <w:r>
          <w:fldChar w:fldCharType="begin"/>
        </w:r>
        <w:r>
          <w:instrText xml:space="preserve"> PAGE   \* MERGEFORMAT </w:instrText>
        </w:r>
        <w:r>
          <w:fldChar w:fldCharType="separate"/>
        </w:r>
        <w:r>
          <w:rPr>
            <w:lang w:val="ko-KR"/>
            <w:noProof/>
          </w:rPr>
          <w:t>2</w:t>
        </w:r>
        <w:r>
          <w:rPr>
            <w:lang w:val="ko-KR"/>
            <w:noProof/>
          </w:rPr>
          <w:fldChar w:fldCharType="end"/>
        </w:r>
        <w:r/>
      </w:p>
    </w:sdtContent>
  </w:sdt>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Style w:val="TableGrid"/>
      <w:tblW w:w="0" w:type="auto"/>
      <w:tblLook w:val="04A0" w:firstRow="1" w:lastRow="0" w:firstColumn="1" w:lastColumn="0" w:noHBand="0" w:noVBand="1"/>
    </w:tblPr>
    <w:tblGrid>
      <w:gridCol w:w="4612"/>
      <w:gridCol w:w="4612"/>
    </w:tblGrid>
    <w:tr>
      <w:trPr>
        <w:trHeight w:val="699" w:hRule="atLeast"/>
      </w:trPr>
      <w:tc>
        <w:tcPr>
          <w:tcW w:w="4612" w:type="dxa"/>
          <w:vAlign w:val="center"/>
        </w:tcPr>
        <w:p>
          <w:pPr>
            <w:pStyle w:val="Header"/>
            <w:jc w:val="center"/>
            <w:spacing w:after="0"/>
          </w:pPr>
          <w:r>
            <w:rPr>
              <w:noProof/>
            </w:rPr>
            <w:drawing>
              <wp:inline distT="0" distB="0" distL="0" distR="0">
                <wp:extent cx="2252940" cy="396000"/>
                <wp:effectExtent l="0" t="0" r="0" b="0"/>
                <wp:docPr id="2049" name="shape2049"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2252940" cy="396000"/>
                        </a:xfrm>
                        <a:prstGeom prst="rect"/>
                      </pic:spPr>
                    </pic:pic>
                  </a:graphicData>
                </a:graphic>
              </wp:inline>
            </w:drawing>
          </w:r>
        </w:p>
      </w:tc>
      <w:tc>
        <w:tcPr>
          <w:tcW w:w="4612" w:type="dxa"/>
          <w:vAlign w:val="center"/>
        </w:tcPr>
        <w:p>
          <w:pPr>
            <w:pStyle w:val="Header"/>
            <w:jc w:val="center"/>
            <w:spacing w:after="0"/>
          </w:pPr>
          <w:r>
            <w:rPr>
              <w:rFonts w:hint="eastAsia"/>
            </w:rPr>
            <w:t>심의서식1-2</w:t>
          </w:r>
          <w:r>
            <w:t xml:space="preserve"> (version </w:t>
          </w:r>
          <w:r>
            <w:rPr>
              <w:rFonts w:hint="eastAsia"/>
            </w:rPr>
            <w:t>2.0</w:t>
          </w:r>
          <w:r>
            <w:t>, 20</w:t>
          </w:r>
          <w:r>
            <w:rPr>
              <w:rFonts w:hint="eastAsia"/>
            </w:rPr>
            <w:t>15</w:t>
          </w:r>
          <w:r>
            <w:t>.</w:t>
          </w:r>
          <w:r>
            <w:rPr>
              <w:rFonts w:hint="eastAsia"/>
            </w:rPr>
            <w:t>11</w:t>
          </w:r>
          <w:r>
            <w:t>)</w:t>
          </w:r>
        </w:p>
      </w:tc>
    </w:tr>
  </w:tbl>
  <w:p>
    <w:pPr>
      <w:pStyle w:val="Heade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0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1"/>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35" w:unhideWhenUsed="1"/>
    <w:lsdException w:name="toc 2" w:semiHidden="1" w:uiPriority="135" w:unhideWhenUsed="1"/>
    <w:lsdException w:name="toc 3" w:semiHidden="1" w:uiPriority="135" w:unhideWhenUsed="1"/>
    <w:lsdException w:name="toc 4" w:semiHidden="1" w:uiPriority="135" w:unhideWhenUsed="1"/>
    <w:lsdException w:name="toc 5" w:semiHidden="1" w:uiPriority="135" w:unhideWhenUsed="1"/>
    <w:lsdException w:name="toc 6" w:semiHidden="1" w:uiPriority="135" w:unhideWhenUsed="1"/>
    <w:lsdException w:name="toc 7" w:semiHidden="1" w:uiPriority="135" w:unhideWhenUsed="1"/>
    <w:lsdException w:name="toc 8" w:semiHidden="1" w:uiPriority="135" w:unhideWhenUsed="1"/>
    <w:lsdException w:name="toc 9" w:semiHidden="1" w:uiPriority="135"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3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2" w:qFormat="1"/>
    <w:lsdException w:name="Emphasis" w:uiPriority="8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11" w:unhideWhenUsed="1"/>
    <w:lsdException w:name="Table Theme" w:semiHidden="1" w:unhideWhenUsed="1"/>
    <w:lsdException w:name="Placeholder Text" w:semiHidden="1"/>
    <w:lsdException w:name="No Spacing" w:uiPriority="1" w:qFormat="1"/>
    <w:lsdException w:name="Light Shading" w:uiPriority="336"/>
    <w:lsdException w:name="Light List" w:uiPriority="337"/>
    <w:lsdException w:name="Light Grid" w:uiPriority="338"/>
    <w:lsdException w:name="Medium Shading 1" w:uiPriority="339"/>
    <w:lsdException w:name="Medium Shading 2" w:uiPriority="598"/>
    <w:lsdException w:name="Medium List 1" w:uiPriority="599"/>
    <w:lsdException w:name="Medium List 2" w:uiPriority="600"/>
    <w:lsdException w:name="Medium Grid 1" w:uiPriority="601"/>
    <w:lsdException w:name="Medium Grid 2" w:uiPriority="608"/>
    <w:lsdException w:name="Medium Grid 3" w:uiPriority="609"/>
    <w:lsdException w:name="Dark List" w:uiPriority="628"/>
    <w:lsdException w:name="Colorful Shading" w:uiPriority="629"/>
    <w:lsdException w:name="Colorful List" w:uiPriority="630"/>
    <w:lsdException w:name="Colorful Grid" w:uiPriority="631"/>
    <w:lsdException w:name="Light Shading Accent 1" w:uiPriority="336"/>
    <w:lsdException w:name="Light List Accent 1" w:uiPriority="337"/>
    <w:lsdException w:name="Light Grid Accent 1" w:uiPriority="338"/>
    <w:lsdException w:name="Medium Shading 1 Accent 1" w:uiPriority="339"/>
    <w:lsdException w:name="Medium Shading 2 Accent 1" w:uiPriority="598"/>
    <w:lsdException w:name="Medium List 1 Accent 1" w:uiPriority="599"/>
    <w:lsdException w:name="Revision" w:semiHidden="1"/>
    <w:lsdException w:name="List Paragraph" w:uiPriority="130" w:qFormat="1"/>
    <w:lsdException w:name="Quote" w:uiPriority="101" w:qFormat="1"/>
    <w:lsdException w:name="Intense Quote" w:uiPriority="114" w:qFormat="1"/>
    <w:lsdException w:name="Medium List 2 Accent 1" w:uiPriority="600"/>
    <w:lsdException w:name="Medium Grid 1 Accent 1" w:uiPriority="601"/>
    <w:lsdException w:name="Medium Grid 2 Accent 1" w:uiPriority="608"/>
    <w:lsdException w:name="Medium Grid 3 Accent 1" w:uiPriority="609"/>
    <w:lsdException w:name="Dark List Accent 1" w:uiPriority="628"/>
    <w:lsdException w:name="Colorful Shading Accent 1" w:uiPriority="629"/>
    <w:lsdException w:name="Colorful List Accent 1" w:uiPriority="630"/>
    <w:lsdException w:name="Colorful Grid Accent 1" w:uiPriority="631"/>
    <w:lsdException w:name="Light Shading Accent 2" w:uiPriority="336"/>
    <w:lsdException w:name="Light List Accent 2" w:uiPriority="337"/>
    <w:lsdException w:name="Light Grid Accent 2" w:uiPriority="338"/>
    <w:lsdException w:name="Medium Shading 1 Accent 2" w:uiPriority="339"/>
    <w:lsdException w:name="Medium Shading 2 Accent 2" w:uiPriority="598"/>
    <w:lsdException w:name="Medium List 1 Accent 2" w:uiPriority="599"/>
    <w:lsdException w:name="Medium List 2 Accent 2" w:uiPriority="600"/>
    <w:lsdException w:name="Medium Grid 1 Accent 2" w:uiPriority="601"/>
    <w:lsdException w:name="Medium Grid 2 Accent 2" w:uiPriority="608"/>
    <w:lsdException w:name="Medium Grid 3 Accent 2" w:uiPriority="609"/>
    <w:lsdException w:name="Dark List Accent 2" w:uiPriority="628"/>
    <w:lsdException w:name="Colorful Shading Accent 2" w:uiPriority="629"/>
    <w:lsdException w:name="Colorful List Accent 2" w:uiPriority="630"/>
    <w:lsdException w:name="Colorful Grid Accent 2" w:uiPriority="631"/>
    <w:lsdException w:name="Light Shading Accent 3" w:uiPriority="336"/>
    <w:lsdException w:name="Light List Accent 3" w:uiPriority="337"/>
    <w:lsdException w:name="Light Grid Accent 3" w:uiPriority="338"/>
    <w:lsdException w:name="Medium Shading 1 Accent 3" w:uiPriority="339"/>
    <w:lsdException w:name="Medium Shading 2 Accent 3" w:uiPriority="598"/>
    <w:lsdException w:name="Medium List 1 Accent 3" w:uiPriority="599"/>
    <w:lsdException w:name="Medium List 2 Accent 3" w:uiPriority="600"/>
    <w:lsdException w:name="Medium Grid 1 Accent 3" w:uiPriority="601"/>
    <w:lsdException w:name="Medium Grid 2 Accent 3" w:uiPriority="608"/>
    <w:lsdException w:name="Medium Grid 3 Accent 3" w:uiPriority="609"/>
    <w:lsdException w:name="Dark List Accent 3" w:uiPriority="628"/>
    <w:lsdException w:name="Colorful Shading Accent 3" w:uiPriority="629"/>
    <w:lsdException w:name="Colorful List Accent 3" w:uiPriority="630"/>
    <w:lsdException w:name="Colorful Grid Accent 3" w:uiPriority="631"/>
    <w:lsdException w:name="Light Shading Accent 4" w:uiPriority="336"/>
    <w:lsdException w:name="Light List Accent 4" w:uiPriority="337"/>
    <w:lsdException w:name="Light Grid Accent 4" w:uiPriority="338"/>
    <w:lsdException w:name="Medium Shading 1 Accent 4" w:uiPriority="339"/>
    <w:lsdException w:name="Medium Shading 2 Accent 4" w:uiPriority="598"/>
    <w:lsdException w:name="Medium List 1 Accent 4" w:uiPriority="599"/>
    <w:lsdException w:name="Medium List 2 Accent 4" w:uiPriority="600"/>
    <w:lsdException w:name="Medium Grid 1 Accent 4" w:uiPriority="601"/>
    <w:lsdException w:name="Medium Grid 2 Accent 4" w:uiPriority="608"/>
    <w:lsdException w:name="Medium Grid 3 Accent 4" w:uiPriority="609"/>
    <w:lsdException w:name="Dark List Accent 4" w:uiPriority="628"/>
    <w:lsdException w:name="Colorful Shading Accent 4" w:uiPriority="629"/>
    <w:lsdException w:name="Colorful List Accent 4" w:uiPriority="630"/>
    <w:lsdException w:name="Colorful Grid Accent 4" w:uiPriority="631"/>
    <w:lsdException w:name="Light Shading Accent 5" w:uiPriority="336"/>
    <w:lsdException w:name="Light List Accent 5" w:uiPriority="337"/>
    <w:lsdException w:name="Light Grid Accent 5" w:uiPriority="338"/>
    <w:lsdException w:name="Medium Shading 1 Accent 5" w:uiPriority="339"/>
    <w:lsdException w:name="Medium Shading 2 Accent 5" w:uiPriority="598"/>
    <w:lsdException w:name="Medium List 1 Accent 5" w:uiPriority="599"/>
    <w:lsdException w:name="Medium List 2 Accent 5" w:uiPriority="600"/>
    <w:lsdException w:name="Medium Grid 1 Accent 5" w:uiPriority="601"/>
    <w:lsdException w:name="Medium Grid 2 Accent 5" w:uiPriority="608"/>
    <w:lsdException w:name="Medium Grid 3 Accent 5" w:uiPriority="609"/>
    <w:lsdException w:name="Dark List Accent 5" w:uiPriority="628"/>
    <w:lsdException w:name="Colorful Shading Accent 5" w:uiPriority="629"/>
    <w:lsdException w:name="Colorful List Accent 5" w:uiPriority="630"/>
    <w:lsdException w:name="Colorful Grid Accent 5" w:uiPriority="631"/>
    <w:lsdException w:name="Light Shading Accent 6" w:uiPriority="336"/>
    <w:lsdException w:name="Light List Accent 6" w:uiPriority="337"/>
    <w:lsdException w:name="Light Grid Accent 6" w:uiPriority="338"/>
    <w:lsdException w:name="Medium Shading 1 Accent 6" w:uiPriority="339"/>
    <w:lsdException w:name="Medium Shading 2 Accent 6" w:uiPriority="598"/>
    <w:lsdException w:name="Medium List 1 Accent 6" w:uiPriority="599"/>
    <w:lsdException w:name="Medium List 2 Accent 6" w:uiPriority="600"/>
    <w:lsdException w:name="Medium Grid 1 Accent 6" w:uiPriority="601"/>
    <w:lsdException w:name="Medium Grid 2 Accent 6" w:uiPriority="608"/>
    <w:lsdException w:name="Medium Grid 3 Accent 6" w:uiPriority="609"/>
    <w:lsdException w:name="Dark List Accent 6" w:uiPriority="628"/>
    <w:lsdException w:name="Colorful Shading Accent 6" w:uiPriority="629"/>
    <w:lsdException w:name="Colorful List Accent 6" w:uiPriority="630"/>
    <w:lsdException w:name="Colorful Grid Accent 6" w:uiPriority="631"/>
    <w:lsdException w:name="Subtle Emphasis" w:uiPriority="55" w:qFormat="1"/>
    <w:lsdException w:name="Intense Emphasis" w:uiPriority="81" w:qFormat="1"/>
    <w:lsdException w:name="Subtle Reference" w:uiPriority="115" w:qFormat="1"/>
    <w:lsdException w:name="Intense Reference" w:uiPriority="128" w:qFormat="1"/>
    <w:lsdException w:name="Book Title" w:uiPriority="129" w:qFormat="1"/>
    <w:lsdException w:name="Bibliography" w:semiHidden="1" w:uiPriority="133" w:unhideWhenUsed="1"/>
    <w:lsdException w:name="TOC Heading" w:semiHidden="1" w:uiPriority="135" w:unhideWhenUsed="1" w:qFormat="1"/>
    <w:lsdException w:name="Plain Table 1" w:uiPriority="257"/>
    <w:lsdException w:name="Plain Table 2" w:uiPriority="258"/>
    <w:lsdException w:name="Plain Table 3" w:uiPriority="259"/>
    <w:lsdException w:name="Plain Table 4" w:uiPriority="260"/>
    <w:lsdException w:name="Plain Table 5" w:uiPriority="261"/>
    <w:lsdException w:name="Grid Table Light" w:uiPriority="256"/>
    <w:lsdException w:name="Grid Table 1 Light" w:uiPriority="274"/>
    <w:lsdException w:name="Grid Table 2" w:uiPriority="275"/>
    <w:lsdException w:name="Grid Table 3" w:uiPriority="276"/>
    <w:lsdException w:name="Grid Table 4" w:uiPriority="277"/>
    <w:lsdException w:name="Grid Table 5 Dark" w:uiPriority="296"/>
    <w:lsdException w:name="Grid Table 6 Colorful" w:uiPriority="297"/>
    <w:lsdException w:name="Grid Table 7 Colorful" w:uiPriority="304"/>
    <w:lsdException w:name="Grid Table 1 Light Accent 1" w:uiPriority="274"/>
    <w:lsdException w:name="Grid Table 2 Accent 1" w:uiPriority="275"/>
    <w:lsdException w:name="Grid Table 3 Accent 1" w:uiPriority="276"/>
    <w:lsdException w:name="Grid Table 4 Accent 1" w:uiPriority="277"/>
    <w:lsdException w:name="Grid Table 5 Dark Accent 1" w:uiPriority="296"/>
    <w:lsdException w:name="Grid Table 6 Colorful Accent 1" w:uiPriority="297"/>
    <w:lsdException w:name="Grid Table 7 Colorful Accent 1" w:uiPriority="304"/>
    <w:lsdException w:name="Grid Table 1 Light Accent 2" w:uiPriority="274"/>
    <w:lsdException w:name="Grid Table 2 Accent 2" w:uiPriority="275"/>
    <w:lsdException w:name="Grid Table 3 Accent 2" w:uiPriority="276"/>
    <w:lsdException w:name="Grid Table 4 Accent 2" w:uiPriority="277"/>
    <w:lsdException w:name="Grid Table 5 Dark Accent 2" w:uiPriority="296"/>
    <w:lsdException w:name="Grid Table 6 Colorful Accent 2" w:uiPriority="297"/>
    <w:lsdException w:name="Grid Table 7 Colorful Accent 2" w:uiPriority="304"/>
    <w:lsdException w:name="Grid Table 1 Light Accent 3" w:uiPriority="274"/>
    <w:lsdException w:name="Grid Table 2 Accent 3" w:uiPriority="275"/>
    <w:lsdException w:name="Grid Table 3 Accent 3" w:uiPriority="276"/>
    <w:lsdException w:name="Grid Table 4 Accent 3" w:uiPriority="277"/>
    <w:lsdException w:name="Grid Table 5 Dark Accent 3" w:uiPriority="296"/>
    <w:lsdException w:name="Grid Table 6 Colorful Accent 3" w:uiPriority="297"/>
    <w:lsdException w:name="Grid Table 7 Colorful Accent 3" w:uiPriority="304"/>
    <w:lsdException w:name="Grid Table 1 Light Accent 4" w:uiPriority="274"/>
    <w:lsdException w:name="Grid Table 2 Accent 4" w:uiPriority="275"/>
    <w:lsdException w:name="Grid Table 3 Accent 4" w:uiPriority="276"/>
    <w:lsdException w:name="Grid Table 4 Accent 4" w:uiPriority="277"/>
    <w:lsdException w:name="Grid Table 5 Dark Accent 4" w:uiPriority="296"/>
    <w:lsdException w:name="Grid Table 6 Colorful Accent 4" w:uiPriority="297"/>
    <w:lsdException w:name="Grid Table 7 Colorful Accent 4" w:uiPriority="304"/>
    <w:lsdException w:name="Grid Table 1 Light Accent 5" w:uiPriority="274"/>
    <w:lsdException w:name="Grid Table 2 Accent 5" w:uiPriority="275"/>
    <w:lsdException w:name="Grid Table 3 Accent 5" w:uiPriority="276"/>
    <w:lsdException w:name="Grid Table 4 Accent 5" w:uiPriority="277"/>
    <w:lsdException w:name="Grid Table 5 Dark Accent 5" w:uiPriority="296"/>
    <w:lsdException w:name="Grid Table 6 Colorful Accent 5" w:uiPriority="297"/>
    <w:lsdException w:name="Grid Table 7 Colorful Accent 5" w:uiPriority="304"/>
    <w:lsdException w:name="Grid Table 1 Light Accent 6" w:uiPriority="274"/>
    <w:lsdException w:name="Grid Table 2 Accent 6" w:uiPriority="275"/>
    <w:lsdException w:name="Grid Table 3 Accent 6" w:uiPriority="276"/>
    <w:lsdException w:name="Grid Table 4 Accent 6" w:uiPriority="277"/>
    <w:lsdException w:name="Grid Table 5 Dark Accent 6" w:uiPriority="296"/>
    <w:lsdException w:name="Grid Table 6 Colorful Accent 6" w:uiPriority="297"/>
    <w:lsdException w:name="Grid Table 7 Colorful Accent 6" w:uiPriority="304"/>
    <w:lsdException w:name="List Table 1 Light" w:uiPriority="274"/>
    <w:lsdException w:name="List Table 2" w:uiPriority="275"/>
    <w:lsdException w:name="List Table 3" w:uiPriority="276"/>
    <w:lsdException w:name="List Table 4" w:uiPriority="277"/>
    <w:lsdException w:name="List Table 5 Dark" w:uiPriority="296"/>
    <w:lsdException w:name="List Table 6 Colorful" w:uiPriority="297"/>
    <w:lsdException w:name="List Table 7 Colorful" w:uiPriority="304"/>
    <w:lsdException w:name="List Table 1 Light Accent 1" w:uiPriority="274"/>
    <w:lsdException w:name="List Table 2 Accent 1" w:uiPriority="275"/>
    <w:lsdException w:name="List Table 3 Accent 1" w:uiPriority="276"/>
    <w:lsdException w:name="List Table 4 Accent 1" w:uiPriority="277"/>
    <w:lsdException w:name="List Table 5 Dark Accent 1" w:uiPriority="296"/>
    <w:lsdException w:name="List Table 6 Colorful Accent 1" w:uiPriority="297"/>
    <w:lsdException w:name="List Table 7 Colorful Accent 1" w:uiPriority="304"/>
    <w:lsdException w:name="List Table 1 Light Accent 2" w:uiPriority="274"/>
    <w:lsdException w:name="List Table 2 Accent 2" w:uiPriority="275"/>
    <w:lsdException w:name="List Table 3 Accent 2" w:uiPriority="276"/>
    <w:lsdException w:name="List Table 4 Accent 2" w:uiPriority="277"/>
    <w:lsdException w:name="List Table 5 Dark Accent 2" w:uiPriority="296"/>
    <w:lsdException w:name="List Table 6 Colorful Accent 2" w:uiPriority="297"/>
    <w:lsdException w:name="List Table 7 Colorful Accent 2" w:uiPriority="304"/>
    <w:lsdException w:name="List Table 1 Light Accent 3" w:uiPriority="274"/>
    <w:lsdException w:name="List Table 2 Accent 3" w:uiPriority="275"/>
    <w:lsdException w:name="List Table 3 Accent 3" w:uiPriority="276"/>
    <w:lsdException w:name="List Table 4 Accent 3" w:uiPriority="277"/>
    <w:lsdException w:name="List Table 5 Dark Accent 3" w:uiPriority="296"/>
    <w:lsdException w:name="List Table 6 Colorful Accent 3" w:uiPriority="297"/>
    <w:lsdException w:name="List Table 7 Colorful Accent 3" w:uiPriority="304"/>
    <w:lsdException w:name="List Table 1 Light Accent 4" w:uiPriority="274"/>
    <w:lsdException w:name="List Table 2 Accent 4" w:uiPriority="275"/>
    <w:lsdException w:name="List Table 3 Accent 4" w:uiPriority="276"/>
    <w:lsdException w:name="List Table 4 Accent 4" w:uiPriority="277"/>
    <w:lsdException w:name="List Table 5 Dark Accent 4" w:uiPriority="296"/>
    <w:lsdException w:name="List Table 6 Colorful Accent 4" w:uiPriority="297"/>
    <w:lsdException w:name="List Table 7 Colorful Accent 4" w:uiPriority="304"/>
    <w:lsdException w:name="List Table 1 Light Accent 5" w:uiPriority="274"/>
    <w:lsdException w:name="List Table 2 Accent 5" w:uiPriority="275"/>
    <w:lsdException w:name="List Table 3 Accent 5" w:uiPriority="276"/>
    <w:lsdException w:name="List Table 4 Accent 5" w:uiPriority="277"/>
    <w:lsdException w:name="List Table 5 Dark Accent 5" w:uiPriority="296"/>
    <w:lsdException w:name="List Table 6 Colorful Accent 5" w:uiPriority="297"/>
    <w:lsdException w:name="List Table 7 Colorful Accent 5" w:uiPriority="304"/>
    <w:lsdException w:name="List Table 1 Light Accent 6" w:uiPriority="274"/>
    <w:lsdException w:name="List Table 2 Accent 6" w:uiPriority="275"/>
    <w:lsdException w:name="List Table 3 Accent 6" w:uiPriority="276"/>
    <w:lsdException w:name="List Table 4 Accent 6" w:uiPriority="277"/>
    <w:lsdException w:name="List Table 5 Dark Accent 6" w:uiPriority="296"/>
    <w:lsdException w:name="List Table 6 Colorful Accent 6" w:uiPriority="297"/>
    <w:lsdException w:name="List Table 7 Colorful Accent 6" w:uiPriority="304"/>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off"/>
      <w:autoSpaceDN w:val="off"/>
      <w:widowControl w:val="off"/>
      <w:wordWrap w:val="off"/>
      <w:jc w:val="both"/>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uiPriority w:val="59"/>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link w:val="NoSpacingChar"/>
    <w:qFormat/>
    <w:pPr>
      <w:autoSpaceDE w:val="off"/>
      <w:autoSpaceDN w:val="off"/>
      <w:widowControl w:val="off"/>
      <w:wordWrap w:val="off"/>
      <w:jc w:val="both"/>
    </w:pPr>
  </w:style>
  <w:style w:type="paragraph" w:styleId="Header">
    <w:name w:val="header"/>
    <w:uiPriority w:val="99"/>
    <w:basedOn w:val="Normal"/>
    <w:link w:val="HeaderChar"/>
    <w:unhideWhenUsed/>
    <w:pPr>
      <w:snapToGrid w:val="0"/>
      <w:tabs>
        <w:tab w:val="center" w:pos="4513"/>
        <w:tab w:val="right" w:pos="9026"/>
      </w:tabs>
    </w:pPr>
  </w:style>
  <w:style w:type="character" w:customStyle="1" w:styleId="HeaderChar">
    <w:name w:val="Header Char"/>
    <w:uiPriority w:val="99"/>
    <w:basedOn w:val="DefaultParagraphFont"/>
    <w:link w:val="Header"/>
  </w:style>
  <w:style w:type="paragraph" w:styleId="Footer">
    <w:name w:val="footer"/>
    <w:uiPriority w:val="99"/>
    <w:basedOn w:val="Normal"/>
    <w:link w:val="FooterChar"/>
    <w:unhideWhenUsed/>
    <w:pPr>
      <w:snapToGrid w:val="0"/>
      <w:tabs>
        <w:tab w:val="center" w:pos="4513"/>
        <w:tab w:val="right" w:pos="9026"/>
      </w:tabs>
    </w:pPr>
  </w:style>
  <w:style w:type="character" w:customStyle="1" w:styleId="FooterChar">
    <w:name w:val="Footer Char"/>
    <w:uiPriority w:val="99"/>
    <w:basedOn w:val="DefaultParagraphFont"/>
    <w:link w:val="Footer"/>
  </w:style>
  <w:style w:type="paragraph" w:styleId="BalloonText">
    <w:name w:val="Balloon Text"/>
    <w:uiPriority w:val="99"/>
    <w:basedOn w:val="Normal"/>
    <w:link w:val="BalloonTextChar"/>
    <w:semiHidden/>
    <w:unhideWhenUsed/>
    <w:pPr>
      <w:spacing w:after="0" w:line="240" w:lineRule="auto"/>
    </w:pPr>
    <w:rPr>
      <w:rFonts w:asciiTheme="majorHAnsi" w:eastAsiaTheme="majorEastAsia" w:hAnsiTheme="majorHAnsi" w:cstheme="majorBidi"/>
      <w:sz w:val="18"/>
      <w:szCs w:val="18"/>
    </w:rPr>
  </w:style>
  <w:style w:type="character" w:customStyle="1" w:styleId="BalloonTextChar">
    <w:name w:val="Balloon Text Char"/>
    <w:uiPriority w:val="99"/>
    <w:basedOn w:val="DefaultParagraphFont"/>
    <w:link w:val="BalloonText"/>
    <w:semiHidden/>
    <w:rPr>
      <w:rFonts w:asciiTheme="majorHAnsi" w:eastAsiaTheme="majorEastAsia" w:hAnsiTheme="majorHAnsi" w:cstheme="majorBidi"/>
      <w:sz w:val="18"/>
      <w:szCs w:val="18"/>
    </w:rPr>
  </w:style>
  <w:style w:type="paragraph" w:styleId="ListParagraph">
    <w:name w:val="List Paragraph"/>
    <w:uiPriority w:val="34"/>
    <w:basedOn w:val="Normal"/>
    <w:qFormat/>
    <w:pPr>
      <w:ind w:leftChars="400" w:left="800"/>
    </w:pPr>
  </w:style>
  <w:style w:type="character" w:customStyle="1" w:styleId="NoSpacingChar">
    <w:name w:val="No Spacing Char"/>
    <w:uiPriority w:val="1"/>
    <w:basedOn w:val="DefaultParagraphFont"/>
    <w:link w:val="NoSpacing"/>
  </w:style>
  <w:style w:type="paragraph" w:customStyle="1" w:styleId="a">
    <w:name w:val="바탕글"/>
    <w:basedOn w:val="Normal"/>
    <w:pPr>
      <w:autoSpaceDE/>
      <w:autoSpaceDN/>
      <w:widowControl/>
      <w:wordWrap/>
      <w:snapToGrid w:val="0"/>
      <w:spacing w:after="0" w:line="384" w:lineRule="auto"/>
    </w:pPr>
    <w:rPr>
      <w:rFonts w:ascii="함초롬바탕" w:eastAsia="함초롬바탕" w:hAnsi="함초롬바탕" w:cs="굴림"/>
      <w:color w:val="000000"/>
      <w:szCs w:val="20"/>
      <w:kern w:val="0"/>
    </w:rPr>
  </w:style>
  <w:style w:type="character" w:styleId="CommentReference">
    <w:name w:val="annotation reference"/>
    <w:uiPriority w:val="99"/>
    <w:basedOn w:val="DefaultParagraphFont"/>
    <w:semiHidden/>
    <w:unhideWhenUsed/>
    <w:rPr>
      <w:sz w:val="18"/>
      <w:szCs w:val="18"/>
    </w:rPr>
  </w:style>
  <w:style w:type="paragraph" w:styleId="CommentText">
    <w:name w:val="annotation text"/>
    <w:uiPriority w:val="99"/>
    <w:basedOn w:val="Normal"/>
    <w:link w:val="CommentTextChar"/>
    <w:semiHidden/>
    <w:unhideWhenUsed/>
    <w:pPr>
      <w:jc w:val="left"/>
    </w:pPr>
  </w:style>
  <w:style w:type="character" w:customStyle="1" w:styleId="CommentTextChar">
    <w:name w:val="Comment Text Char"/>
    <w:uiPriority w:val="99"/>
    <w:basedOn w:val="DefaultParagraphFont"/>
    <w:link w:val="CommentText"/>
    <w:semiHidden/>
  </w:style>
  <w:style w:type="paragraph" w:styleId="CommentSubject">
    <w:name w:val="annotation subject"/>
    <w:uiPriority w:val="99"/>
    <w:basedOn w:val="CommentText"/>
    <w:next w:val="CommentText"/>
    <w:link w:val="CommentSubjectChar"/>
    <w:semiHidden/>
    <w:unhideWhenUsed/>
    <w:rPr>
      <w:b/>
      <w:bCs/>
    </w:rPr>
  </w:style>
  <w:style w:type="character" w:customStyle="1" w:styleId="CommentSubjectChar">
    <w:name w:val="Comment Subject Char"/>
    <w:uiPriority w:val="99"/>
    <w:basedOn w:val="CommentTextChar"/>
    <w:link w:val="CommentSubject"/>
    <w:semiHidden/>
    <w:rPr>
      <w:b/>
      <w:bCs/>
    </w:rPr>
  </w:style>
  <w:style w:type="paragraph" w:customStyle="1" w:styleId="a3">
    <w:name w:val="Table Paragraph"/>
    <w:uiPriority w:val="1"/>
    <w:pPr>
      <w:ind w:left="802" w:right="0" w:firstLine="0"/>
      <w:autoSpaceDE w:val="off"/>
      <w:autoSpaceDN w:val="off"/>
      <w:widowControl w:val="off"/>
      <w:wordWrap/>
      <w:jc w:val="left"/>
      <w:pBdr>
        <w:top w:val="none" w:sz="2" w:space="1" w:color="000000"/>
        <w:left w:val="none" w:sz="2" w:space="4" w:color="000000"/>
        <w:bottom w:val="none" w:sz="2" w:space="1" w:color="000000"/>
        <w:right w:val="none" w:sz="2" w:space="4" w:color="000000"/>
      </w:pBdr>
      <w:spacing w:after="0" w:before="0" w:line="240" w:lineRule="auto"/>
      <w:textAlignment w:val="baseline"/>
    </w:pPr>
    <w:rPr>
      <w:rFonts w:ascii="맑은 고딕" w:eastAsia="맑은 고딕"/>
      <w:color w:val="00000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4" Type="http://schemas.openxmlformats.org/officeDocument/2006/relationships/header" Target="header1.xml" /><Relationship Id="rId5" Type="http://schemas.openxmlformats.org/officeDocument/2006/relationships/footer" Target="footer1.xml" /><Relationship Id="rId1" Type="http://schemas.openxmlformats.org/officeDocument/2006/relationships/image" Target="media/image1.png" /><Relationship Id="rId2" Type="http://schemas.openxmlformats.org/officeDocument/2006/relationships/image" Target="media/image2.png" /><Relationship Id="rId3" Type="http://schemas.openxmlformats.org/officeDocument/2006/relationships/image" Target="media/image3.png" /><Relationship Id="rId6" Type="http://schemas.openxmlformats.org/officeDocument/2006/relationships/styles" Target="styles.xml" /><Relationship Id="rId7" Type="http://schemas.openxmlformats.org/officeDocument/2006/relationships/settings" Target="settings.xml" /><Relationship Id="rId8" Type="http://schemas.openxmlformats.org/officeDocument/2006/relationships/fontTable" Target="fontTable.xml" /><Relationship Id="rId9" Type="http://schemas.openxmlformats.org/officeDocument/2006/relationships/webSettings" Target="webSettings.xml" /><Relationship Id="rId10" Type="http://schemas.openxmlformats.org/officeDocument/2006/relationships/theme" Target="theme/theme1.xml" /></Relationships>
</file>

<file path=word/_rels/header1.xml.rels><?xml version="1.0" encoding="UTF-8" standalone="yes"?><Relationships xmlns="http://schemas.openxmlformats.org/package/2006/relationships"><Relationship Id="rId1" Type="http://schemas.openxmlformats.org/officeDocument/2006/relationships/image" Target="media/image4.jpeg" /></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font script="Mymr" typeface=""/>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UNIST</dc:creator>
  <cp:keywords/>
  <dc:description/>
  <cp:lastModifiedBy>82109</cp:lastModifiedBy>
  <cp:revision>1</cp:revision>
  <dcterms:created xsi:type="dcterms:W3CDTF">2020-10-16T07:57:00Z</dcterms:created>
  <dcterms:modified xsi:type="dcterms:W3CDTF">2022-04-06T02:28:08Z</dcterms:modified>
  <cp:lastPrinted>2013-03-15T07:21:00Z</cp:lastPrinted>
  <cp:version>1200.0100.01</cp:version>
</cp:coreProperties>
</file>